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45" w:lineRule="atLeast"/>
        <w:jc w:val="both"/>
        <w:rPr>
          <w:rFonts w:ascii="Arial Narrow" w:hAnsi="Arial Narrow" w:cs="Arial"/>
          <w:szCs w:val="20"/>
        </w:rPr>
      </w:pPr>
      <w:r>
        <w:rPr>
          <w:rFonts w:ascii="Arial Narrow" w:hAnsi="Arial Narrow" w:cs="Arial"/>
          <w:szCs w:val="20"/>
        </w:rPr>
        <w:t xml:space="preserve">            In sedinta din data de 13.07.2021  a comisiei constituite in baza prevederilor art.87 alin. (3) si (4) din anexa nr. 2 la Hotararea Guvernului nr.696/2021 pentru aprobarea pachetelor de servicii si a Contractului-cadru care reglementeaza conditiile acordãrii asistentei medicale, a medicamentelor si a dispozitivelor medicale, tehnologiilor si dispozitivelor asistive, în cadrul sistemului de asigurãri sociale de sãnãtate pentru anii 2021-2022, au fost stabilite ca </w:t>
      </w:r>
      <w:bookmarkStart w:id="0" w:name="_GoBack"/>
      <w:r>
        <w:rPr>
          <w:rFonts w:ascii="Arial Narrow" w:hAnsi="Arial Narrow" w:cs="Arial"/>
          <w:b/>
          <w:szCs w:val="20"/>
        </w:rPr>
        <w:t>z</w:t>
      </w:r>
      <w:r>
        <w:rPr>
          <w:rFonts w:ascii="Arial Narrow" w:hAnsi="Arial Narrow" w:cs="Arial"/>
          <w:b/>
          <w:bCs/>
          <w:szCs w:val="20"/>
        </w:rPr>
        <w:t xml:space="preserve">one/localitati  deficitare </w:t>
      </w:r>
      <w:r>
        <w:rPr>
          <w:rFonts w:ascii="Arial Narrow" w:hAnsi="Arial Narrow" w:cs="Arial"/>
          <w:bCs/>
          <w:szCs w:val="20"/>
        </w:rPr>
        <w:t>din punct de vedere al</w:t>
      </w:r>
      <w:r>
        <w:rPr>
          <w:rFonts w:ascii="Arial Narrow" w:hAnsi="Arial Narrow" w:cs="Arial"/>
          <w:b/>
          <w:bCs/>
          <w:szCs w:val="20"/>
        </w:rPr>
        <w:t xml:space="preserve"> existentei medicilor de o anumita specialitate </w:t>
      </w:r>
      <w:r>
        <w:rPr>
          <w:rFonts w:ascii="Arial Narrow" w:hAnsi="Arial Narrow" w:cs="Arial"/>
          <w:bCs/>
          <w:szCs w:val="20"/>
        </w:rPr>
        <w:t>in cadrul unitatilor sanitare cu paturi la nivelul judetului Arges pentru anul</w:t>
      </w:r>
      <w:r>
        <w:rPr>
          <w:rFonts w:ascii="Arial Narrow" w:hAnsi="Arial Narrow" w:cs="Arial"/>
          <w:b/>
          <w:bCs/>
          <w:szCs w:val="20"/>
        </w:rPr>
        <w:t xml:space="preserve"> 2021</w:t>
      </w:r>
      <w:bookmarkEnd w:id="0"/>
      <w:r>
        <w:rPr>
          <w:rFonts w:ascii="Arial Narrow" w:hAnsi="Arial Narrow" w:cs="Arial"/>
          <w:b/>
          <w:bCs/>
          <w:szCs w:val="20"/>
        </w:rPr>
        <w:t>:</w:t>
      </w:r>
    </w:p>
    <w:p>
      <w:pPr>
        <w:rPr>
          <w:rFonts w:ascii="Arial Narrow" w:hAnsi="Arial Narrow" w:cs="Arial"/>
          <w:b/>
          <w:szCs w:val="20"/>
          <w:lang w:val="en-US"/>
        </w:rPr>
      </w:pPr>
    </w:p>
    <w:p>
      <w:pPr>
        <w:rPr>
          <w:rFonts w:ascii="Arial Narrow" w:hAnsi="Arial Narrow" w:cs="Arial"/>
          <w:b/>
          <w:szCs w:val="20"/>
          <w:lang w:val="en-US"/>
        </w:rPr>
      </w:pPr>
    </w:p>
    <w:p>
      <w:pPr>
        <w:rPr>
          <w:rFonts w:ascii="Arial Narrow" w:hAnsi="Arial Narrow" w:cs="Arial"/>
          <w:szCs w:val="20"/>
          <w:lang w:val="en-US"/>
        </w:rPr>
      </w:pPr>
    </w:p>
    <w:p>
      <w:pPr>
        <w:spacing w:line="360" w:lineRule="auto"/>
        <w:jc w:val="both"/>
        <w:rPr>
          <w:rFonts w:ascii="Arial Narrow" w:hAnsi="Arial Narrow" w:cs="Arial"/>
          <w:szCs w:val="20"/>
          <w:lang w:val="en-US"/>
        </w:rPr>
      </w:pPr>
      <w:r>
        <w:rPr>
          <w:rFonts w:ascii="Arial Narrow" w:hAnsi="Arial Narrow" w:cs="Arial"/>
          <w:b/>
          <w:szCs w:val="20"/>
          <w:lang w:val="en-US"/>
        </w:rPr>
        <w:t>Pitesti</w:t>
      </w:r>
      <w:r>
        <w:rPr>
          <w:rFonts w:ascii="Arial Narrow" w:hAnsi="Arial Narrow" w:cs="Arial"/>
          <w:szCs w:val="20"/>
          <w:lang w:val="en-US"/>
        </w:rPr>
        <w:t>: ATI, ORL, neurologie, oftalmologie, psihiatrie, neurochirurgie, oncologie, cardiologie interventionala, nefrologie, gastroetenerologie, alergologie, radiologie si imagistica, hematologie, chirurgie pediatrica, ortopedie pediatrica, recuperare, boli infectioase, ortopedie, chirurgie vasculara, cardiologie, urologie, chirurgie, ginecologie, chirurgie plastica si microchirurgie reconstructive, pediatrie, medicina de laborator, neonatologie</w:t>
      </w:r>
    </w:p>
    <w:p>
      <w:pPr>
        <w:spacing w:line="360" w:lineRule="auto"/>
        <w:jc w:val="both"/>
        <w:rPr>
          <w:rFonts w:ascii="Arial Narrow" w:hAnsi="Arial Narrow" w:cs="Arial"/>
          <w:b/>
          <w:szCs w:val="20"/>
          <w:lang w:val="en-US"/>
        </w:rPr>
      </w:pPr>
    </w:p>
    <w:p>
      <w:pPr>
        <w:spacing w:line="360" w:lineRule="auto"/>
        <w:jc w:val="both"/>
        <w:rPr>
          <w:rFonts w:ascii="Arial Narrow" w:hAnsi="Arial Narrow" w:cs="Arial"/>
          <w:szCs w:val="20"/>
          <w:lang w:val="en-US"/>
        </w:rPr>
      </w:pPr>
      <w:r>
        <w:rPr>
          <w:rFonts w:ascii="Arial Narrow" w:hAnsi="Arial Narrow" w:cs="Arial"/>
          <w:b/>
          <w:szCs w:val="20"/>
          <w:lang w:val="en-US"/>
        </w:rPr>
        <w:t xml:space="preserve">Curtea de Arges: </w:t>
      </w:r>
      <w:r>
        <w:rPr>
          <w:rFonts w:ascii="Arial Narrow" w:hAnsi="Arial Narrow" w:cs="Arial"/>
          <w:szCs w:val="20"/>
          <w:lang w:val="en-US"/>
        </w:rPr>
        <w:t>ATI, cardiologie, medicina de urgenta, oncologie, diabet si boli de nutritie, neurologie, radiologie, medicina interna, neonatologie, ORL, medicina de laborator</w:t>
      </w:r>
    </w:p>
    <w:p>
      <w:pPr>
        <w:spacing w:line="360" w:lineRule="auto"/>
        <w:jc w:val="both"/>
        <w:rPr>
          <w:rFonts w:ascii="Arial Narrow" w:hAnsi="Arial Narrow" w:cs="Arial"/>
          <w:b/>
          <w:szCs w:val="20"/>
          <w:lang w:val="en-US"/>
        </w:rPr>
      </w:pPr>
    </w:p>
    <w:p>
      <w:pPr>
        <w:spacing w:line="360" w:lineRule="auto"/>
        <w:jc w:val="both"/>
        <w:rPr>
          <w:rFonts w:ascii="Arial Narrow" w:hAnsi="Arial Narrow" w:cs="Arial"/>
          <w:szCs w:val="20"/>
          <w:lang w:val="en-US"/>
        </w:rPr>
      </w:pPr>
      <w:r>
        <w:rPr>
          <w:rFonts w:ascii="Arial Narrow" w:hAnsi="Arial Narrow" w:cs="Arial"/>
          <w:b/>
          <w:szCs w:val="20"/>
          <w:lang w:val="en-US"/>
        </w:rPr>
        <w:t xml:space="preserve">Campulung: </w:t>
      </w:r>
      <w:r>
        <w:rPr>
          <w:rFonts w:ascii="Arial Narrow" w:hAnsi="Arial Narrow" w:cs="Arial"/>
          <w:szCs w:val="20"/>
          <w:lang w:val="en-US"/>
        </w:rPr>
        <w:t>ORL, oncologie, boli infectioase, radiologie si imagistica</w:t>
      </w:r>
      <w:r>
        <w:rPr>
          <w:rFonts w:ascii="Arial Narrow" w:hAnsi="Arial Narrow" w:cs="Arial"/>
          <w:b/>
          <w:szCs w:val="20"/>
          <w:lang w:val="en-US"/>
        </w:rPr>
        <w:t xml:space="preserve">, </w:t>
      </w:r>
      <w:r>
        <w:rPr>
          <w:rFonts w:ascii="Arial Narrow" w:hAnsi="Arial Narrow" w:cs="Arial"/>
          <w:szCs w:val="20"/>
          <w:lang w:val="en-US"/>
        </w:rPr>
        <w:t>medicina de urgenta</w:t>
      </w:r>
      <w:r>
        <w:rPr>
          <w:rFonts w:ascii="Arial Narrow" w:hAnsi="Arial Narrow" w:cs="Arial"/>
          <w:b/>
          <w:szCs w:val="20"/>
          <w:lang w:val="en-US"/>
        </w:rPr>
        <w:t xml:space="preserve">, </w:t>
      </w:r>
      <w:r>
        <w:rPr>
          <w:rFonts w:ascii="Arial Narrow" w:hAnsi="Arial Narrow" w:cs="Arial"/>
          <w:szCs w:val="20"/>
          <w:lang w:val="en-US"/>
        </w:rPr>
        <w:t>neonatologie, urologie, medicina interna, pediatrie, ATI, ingrijiri paliative, medicina de laborator</w:t>
      </w:r>
    </w:p>
    <w:p>
      <w:pPr>
        <w:spacing w:line="360" w:lineRule="auto"/>
        <w:jc w:val="both"/>
        <w:rPr>
          <w:rFonts w:ascii="Arial Narrow" w:hAnsi="Arial Narrow" w:cs="Arial"/>
          <w:szCs w:val="20"/>
          <w:lang w:val="en-US"/>
        </w:rPr>
      </w:pPr>
    </w:p>
    <w:p>
      <w:pPr>
        <w:spacing w:line="360" w:lineRule="auto"/>
        <w:jc w:val="both"/>
        <w:rPr>
          <w:rFonts w:ascii="Arial Narrow" w:hAnsi="Arial Narrow" w:cs="Arial"/>
          <w:szCs w:val="20"/>
          <w:lang w:val="en-US"/>
        </w:rPr>
      </w:pPr>
      <w:r>
        <w:rPr>
          <w:rFonts w:ascii="Arial Narrow" w:hAnsi="Arial Narrow" w:cs="Arial"/>
          <w:b/>
          <w:szCs w:val="20"/>
          <w:lang w:val="en-US"/>
        </w:rPr>
        <w:t>Costesti</w:t>
      </w:r>
      <w:r>
        <w:rPr>
          <w:rFonts w:ascii="Arial Narrow" w:hAnsi="Arial Narrow" w:cs="Arial"/>
          <w:szCs w:val="20"/>
          <w:lang w:val="en-US"/>
        </w:rPr>
        <w:t>: medicina interna, obstretica-ginecologie, neonatologie, urologie, pediatrie, medicina de urgenta, ATI,  medicina interna, ortopedie, traumatologie, cardiologie, chirurgie, medicina de urgenta, radiologie, medicina de laborator, neurologie</w:t>
      </w:r>
    </w:p>
    <w:p>
      <w:pPr>
        <w:spacing w:line="360" w:lineRule="auto"/>
        <w:jc w:val="both"/>
        <w:rPr>
          <w:rFonts w:ascii="Arial Narrow" w:hAnsi="Arial Narrow" w:cs="Arial"/>
          <w:szCs w:val="20"/>
          <w:lang w:val="en-US"/>
        </w:rPr>
      </w:pPr>
    </w:p>
    <w:p>
      <w:pPr>
        <w:spacing w:line="360" w:lineRule="auto"/>
        <w:jc w:val="both"/>
        <w:rPr>
          <w:rFonts w:ascii="Arial Narrow" w:hAnsi="Arial Narrow" w:cs="Arial"/>
          <w:szCs w:val="20"/>
          <w:lang w:val="en-US"/>
        </w:rPr>
      </w:pPr>
      <w:r>
        <w:rPr>
          <w:rFonts w:ascii="Arial Narrow" w:hAnsi="Arial Narrow" w:cs="Arial"/>
          <w:b/>
          <w:szCs w:val="20"/>
          <w:lang w:val="en-US"/>
        </w:rPr>
        <w:t>Mioveni</w:t>
      </w:r>
      <w:r>
        <w:rPr>
          <w:rFonts w:ascii="Arial Narrow" w:hAnsi="Arial Narrow" w:cs="Arial"/>
          <w:szCs w:val="20"/>
          <w:lang w:val="en-US"/>
        </w:rPr>
        <w:t>: ATI, neonatologie, medicina de urgenta, recuperare, gastroenterologie, diabet, endocrinologie obstretica-ginecologie, chirurgie, ortopedie, urologie, boli infectioase, dermato venerologie, anatomie patologica, medicina de laborator</w:t>
      </w:r>
    </w:p>
    <w:p>
      <w:pPr>
        <w:spacing w:line="360" w:lineRule="auto"/>
        <w:jc w:val="both"/>
        <w:rPr>
          <w:rFonts w:ascii="Arial Narrow" w:hAnsi="Arial Narrow" w:cs="Arial"/>
          <w:szCs w:val="20"/>
          <w:lang w:val="en-US"/>
        </w:rPr>
      </w:pPr>
    </w:p>
    <w:p>
      <w:pPr>
        <w:spacing w:line="360" w:lineRule="auto"/>
        <w:jc w:val="both"/>
        <w:rPr>
          <w:rFonts w:ascii="Arial Narrow" w:hAnsi="Arial Narrow" w:cs="Arial"/>
          <w:szCs w:val="20"/>
          <w:lang w:val="en-US"/>
        </w:rPr>
      </w:pPr>
      <w:r>
        <w:rPr>
          <w:rFonts w:ascii="Arial Narrow" w:hAnsi="Arial Narrow" w:cs="Arial"/>
          <w:b/>
          <w:szCs w:val="20"/>
          <w:lang w:val="en-US"/>
        </w:rPr>
        <w:t xml:space="preserve">Stefanesti: </w:t>
      </w:r>
      <w:r>
        <w:rPr>
          <w:rFonts w:ascii="Arial Narrow" w:hAnsi="Arial Narrow" w:cs="Arial"/>
          <w:szCs w:val="20"/>
          <w:lang w:val="en-US"/>
        </w:rPr>
        <w:t>neurologie, recuperare, medicina de laborator, ingrijiri palliative, geriatrie, radiology</w:t>
      </w:r>
    </w:p>
    <w:p>
      <w:pPr>
        <w:spacing w:line="360" w:lineRule="auto"/>
        <w:rPr>
          <w:rFonts w:ascii="Arial Narrow" w:hAnsi="Arial Narrow" w:cs="Arial"/>
          <w:szCs w:val="20"/>
          <w:lang w:val="en-US"/>
        </w:rPr>
      </w:pPr>
    </w:p>
    <w:p>
      <w:pPr>
        <w:spacing w:line="360" w:lineRule="auto"/>
        <w:rPr>
          <w:rFonts w:ascii="Arial Narrow" w:hAnsi="Arial Narrow" w:cs="Arial"/>
          <w:szCs w:val="20"/>
          <w:lang w:val="en-US"/>
        </w:rPr>
      </w:pPr>
      <w:r>
        <w:rPr>
          <w:rFonts w:ascii="Arial Narrow" w:hAnsi="Arial Narrow" w:cs="Arial"/>
          <w:b/>
          <w:szCs w:val="20"/>
          <w:lang w:val="en-US"/>
        </w:rPr>
        <w:t xml:space="preserve">Vedea: </w:t>
      </w:r>
      <w:r>
        <w:rPr>
          <w:rFonts w:ascii="Arial Narrow" w:hAnsi="Arial Narrow" w:cs="Arial"/>
          <w:szCs w:val="20"/>
          <w:lang w:val="en-US"/>
        </w:rPr>
        <w:t>psihiatrie, medicina de laborator</w:t>
      </w:r>
    </w:p>
    <w:p>
      <w:pPr>
        <w:spacing w:line="360" w:lineRule="auto"/>
        <w:rPr>
          <w:rFonts w:ascii="Arial Narrow" w:hAnsi="Arial Narrow" w:cs="Arial"/>
          <w:b/>
          <w:szCs w:val="20"/>
          <w:lang w:val="en-US"/>
        </w:rPr>
      </w:pPr>
    </w:p>
    <w:p>
      <w:pPr>
        <w:spacing w:line="360" w:lineRule="auto"/>
        <w:rPr>
          <w:rFonts w:ascii="Arial Narrow" w:hAnsi="Arial Narrow" w:cs="Arial"/>
          <w:szCs w:val="20"/>
          <w:lang w:val="en-US"/>
        </w:rPr>
      </w:pPr>
      <w:r>
        <w:rPr>
          <w:rFonts w:ascii="Arial Narrow" w:hAnsi="Arial Narrow" w:cs="Arial"/>
          <w:b/>
          <w:szCs w:val="20"/>
          <w:lang w:val="en-US"/>
        </w:rPr>
        <w:t xml:space="preserve">Calinesti: </w:t>
      </w:r>
      <w:r>
        <w:rPr>
          <w:rFonts w:ascii="Arial Narrow" w:hAnsi="Arial Narrow" w:cs="Arial"/>
          <w:szCs w:val="20"/>
          <w:lang w:val="en-US"/>
        </w:rPr>
        <w:t xml:space="preserve">ingrijiri paliative, medicina interna. </w:t>
      </w:r>
    </w:p>
    <w:tbl>
      <w:tblPr>
        <w:tblW w:w="1920" w:type="dxa"/>
        <w:tblInd w:w="96" w:type="dxa"/>
        <w:shd w:val="clear"/>
        <w:tblLayout w:type="autofit"/>
        <w:tblCellMar>
          <w:top w:w="0" w:type="dxa"/>
          <w:left w:w="108" w:type="dxa"/>
          <w:bottom w:w="0" w:type="dxa"/>
          <w:right w:w="108" w:type="dxa"/>
        </w:tblCellMar>
      </w:tblPr>
      <w:tblGrid>
        <w:gridCol w:w="960"/>
        <w:gridCol w:w="5062"/>
      </w:tblGrid>
      <w:tr>
        <w:tblPrEx>
          <w:shd w:val="clear"/>
          <w:tblCellMar>
            <w:top w:w="0" w:type="dxa"/>
            <w:left w:w="108" w:type="dxa"/>
            <w:bottom w:w="0" w:type="dxa"/>
            <w:right w:w="108" w:type="dxa"/>
          </w:tblCellMar>
        </w:tblPrEx>
        <w:trPr>
          <w:trHeight w:val="300" w:hRule="atLeast"/>
        </w:trPr>
        <w:tc>
          <w:tcPr>
            <w:tcW w:w="960" w:type="dxa"/>
            <w:tcBorders>
              <w:top w:val="nil"/>
              <w:left w:val="nil"/>
              <w:bottom w:val="nil"/>
              <w:right w:val="nil"/>
            </w:tcBorders>
            <w:shd w:val="clear"/>
            <w:noWrap/>
            <w:vAlign w:val="bottom"/>
          </w:tcPr>
          <w:p>
            <w:pPr>
              <w:rPr>
                <w:rFonts w:hint="eastAsia" w:ascii="Arial" w:hAnsi="Arial" w:cs="Arial"/>
                <w:i w:val="0"/>
                <w:iCs w:val="0"/>
                <w:color w:val="auto"/>
                <w:sz w:val="20"/>
                <w:szCs w:val="20"/>
                <w:u w:val="none"/>
              </w:rPr>
            </w:pPr>
          </w:p>
        </w:tc>
        <w:tc>
          <w:tcPr>
            <w:tcW w:w="960" w:type="dxa"/>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b/>
                <w:bCs/>
                <w:i w:val="0"/>
                <w:iCs w:val="0"/>
                <w:color w:val="auto"/>
                <w:sz w:val="24"/>
                <w:szCs w:val="24"/>
                <w:u w:val="single"/>
              </w:rPr>
            </w:pPr>
            <w:r>
              <w:rPr>
                <w:rFonts w:hint="default" w:ascii="Arial" w:hAnsi="Arial" w:eastAsia="SimSun" w:cs="Arial"/>
                <w:b/>
                <w:bCs/>
                <w:i w:val="0"/>
                <w:iCs w:val="0"/>
                <w:color w:val="auto"/>
                <w:kern w:val="0"/>
                <w:sz w:val="24"/>
                <w:szCs w:val="24"/>
                <w:u w:val="single"/>
                <w:bdr w:val="none" w:color="auto" w:sz="0" w:space="0"/>
                <w:lang w:val="en-US" w:eastAsia="zh-CN" w:bidi="ar"/>
              </w:rPr>
              <w:t>Specialitati deficitare in ambulatoriu de specialitate clinic-2021</w:t>
            </w: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pPr>
              <w:rPr>
                <w:rFonts w:hint="default" w:ascii="Calibri" w:hAnsi="Calibri" w:cs="Calibri"/>
                <w:i w:val="0"/>
                <w:iCs w:val="0"/>
                <w:color w:val="000000"/>
                <w:sz w:val="22"/>
                <w:szCs w:val="22"/>
                <w:u w:val="none"/>
              </w:rPr>
            </w:pP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pPr>
              <w:rPr>
                <w:rFonts w:hint="default" w:ascii="Calibri" w:hAnsi="Calibri" w:cs="Calibri"/>
                <w:i w:val="0"/>
                <w:iCs w:val="0"/>
                <w:color w:val="000000"/>
                <w:sz w:val="22"/>
                <w:szCs w:val="22"/>
                <w:u w:val="none"/>
              </w:rPr>
            </w:pP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1</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CARDIOLOGIE</w:t>
            </w: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noWrap/>
            <w:vAlign w:val="bottom"/>
          </w:tcPr>
          <w:p>
            <w:pPr>
              <w:rPr>
                <w:rFonts w:hint="default" w:ascii="Calibri" w:hAnsi="Calibri" w:cs="Calibri"/>
                <w:i w:val="0"/>
                <w:iCs w:val="0"/>
                <w:color w:val="000000"/>
                <w:sz w:val="22"/>
                <w:szCs w:val="22"/>
                <w:u w:val="none"/>
              </w:rPr>
            </w:pP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2</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DIABET ZAHARAT, NUTRITIE SI BOLI METABOLICE</w:t>
            </w: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3</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DERMATOVENEROLOGIE</w:t>
            </w: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4</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ENDOCRINOLOGIE</w:t>
            </w: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5</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GASTROENTEROLOGIE</w:t>
            </w: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6</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HEMATOLOGIE</w:t>
            </w: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7</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NEUROLOGIE</w:t>
            </w:r>
          </w:p>
        </w:tc>
      </w:tr>
      <w:tr>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8</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NEFROLOGIE</w:t>
            </w: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9</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OBSTETRICA-GINECOLOGIE</w:t>
            </w: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10</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OFTALMOLOGIE</w:t>
            </w: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11</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PSIHIATRIE</w:t>
            </w: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12</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REUMATOLOGIE</w:t>
            </w: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13</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PNEUMOLOGIE</w:t>
            </w:r>
          </w:p>
        </w:tc>
      </w:tr>
      <w:tr>
        <w:tblPrEx>
          <w:shd w:val="clear"/>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rPr>
                <w:rFonts w:hint="default" w:ascii="Arial" w:hAnsi="Arial" w:cs="Arial"/>
                <w:i w:val="0"/>
                <w:iCs w:val="0"/>
                <w:color w:val="auto"/>
                <w:sz w:val="20"/>
                <w:szCs w:val="20"/>
                <w:u w:val="none"/>
              </w:rPr>
            </w:pPr>
          </w:p>
        </w:tc>
        <w:tc>
          <w:tcPr>
            <w:tcW w:w="0" w:type="auto"/>
            <w:tcBorders>
              <w:top w:val="nil"/>
              <w:left w:val="nil"/>
              <w:bottom w:val="nil"/>
              <w:right w:val="nil"/>
            </w:tcBorders>
            <w:shd w:val="clear"/>
            <w:noWrap/>
            <w:vAlign w:val="bottom"/>
          </w:tcPr>
          <w:p>
            <w:pPr>
              <w:rPr>
                <w:rFonts w:hint="default" w:ascii="Arial" w:hAnsi="Arial" w:cs="Arial"/>
                <w:i/>
                <w:iCs/>
                <w:color w:val="auto"/>
                <w:sz w:val="20"/>
                <w:szCs w:val="20"/>
                <w:u w:val="none"/>
              </w:rPr>
            </w:pPr>
          </w:p>
        </w:tc>
      </w:tr>
      <w:tr>
        <w:tblPrEx>
          <w:tblCellMar>
            <w:top w:w="0" w:type="dxa"/>
            <w:left w:w="108" w:type="dxa"/>
            <w:bottom w:w="0" w:type="dxa"/>
            <w:right w:w="108" w:type="dxa"/>
          </w:tblCellMar>
        </w:tblPrEx>
        <w:trPr>
          <w:trHeight w:val="280" w:hRule="atLeast"/>
        </w:trPr>
        <w:tc>
          <w:tcPr>
            <w:tcW w:w="0" w:type="auto"/>
            <w:tcBorders>
              <w:top w:val="nil"/>
              <w:left w:val="nil"/>
              <w:bottom w:val="nil"/>
              <w:right w:val="nil"/>
            </w:tcBorders>
            <w:shd w:val="clear"/>
            <w:noWrap/>
            <w:vAlign w:val="bottom"/>
          </w:tcPr>
          <w:p>
            <w:pPr>
              <w:keepNext w:val="0"/>
              <w:keepLines w:val="0"/>
              <w:widowControl/>
              <w:suppressLineNumbers w:val="0"/>
              <w:jc w:val="right"/>
              <w:textAlignment w:val="bottom"/>
              <w:rPr>
                <w:rFonts w:hint="default" w:ascii="Arial" w:hAnsi="Arial" w:cs="Arial"/>
                <w:i w:val="0"/>
                <w:iCs w:val="0"/>
                <w:color w:val="auto"/>
                <w:sz w:val="20"/>
                <w:szCs w:val="20"/>
                <w:u w:val="none"/>
              </w:rPr>
            </w:pPr>
            <w:r>
              <w:rPr>
                <w:rFonts w:hint="default" w:ascii="Arial" w:hAnsi="Arial" w:eastAsia="SimSun" w:cs="Arial"/>
                <w:i w:val="0"/>
                <w:iCs w:val="0"/>
                <w:color w:val="auto"/>
                <w:kern w:val="0"/>
                <w:sz w:val="20"/>
                <w:szCs w:val="20"/>
                <w:u w:val="none"/>
                <w:bdr w:val="none" w:color="auto" w:sz="0" w:space="0"/>
                <w:lang w:val="en-US" w:eastAsia="zh-CN" w:bidi="ar"/>
              </w:rPr>
              <w:t>14</w:t>
            </w:r>
          </w:p>
        </w:tc>
        <w:tc>
          <w:tcPr>
            <w:tcW w:w="0" w:type="auto"/>
            <w:tcBorders>
              <w:top w:val="nil"/>
              <w:left w:val="nil"/>
              <w:bottom w:val="nil"/>
              <w:right w:val="nil"/>
            </w:tcBorders>
            <w:shd w:val="clear"/>
            <w:noWrap/>
            <w:vAlign w:val="bottom"/>
          </w:tcPr>
          <w:p>
            <w:pPr>
              <w:keepNext w:val="0"/>
              <w:keepLines w:val="0"/>
              <w:widowControl/>
              <w:suppressLineNumbers w:val="0"/>
              <w:jc w:val="left"/>
              <w:textAlignment w:val="bottom"/>
              <w:rPr>
                <w:rFonts w:hint="default" w:ascii="Arial" w:hAnsi="Arial" w:cs="Arial"/>
                <w:i/>
                <w:iCs/>
                <w:color w:val="auto"/>
                <w:sz w:val="20"/>
                <w:szCs w:val="20"/>
                <w:u w:val="none"/>
              </w:rPr>
            </w:pPr>
            <w:r>
              <w:rPr>
                <w:rFonts w:hint="default" w:ascii="Arial" w:hAnsi="Arial" w:eastAsia="SimSun" w:cs="Arial"/>
                <w:i/>
                <w:iCs/>
                <w:color w:val="auto"/>
                <w:kern w:val="0"/>
                <w:sz w:val="20"/>
                <w:szCs w:val="20"/>
                <w:u w:val="none"/>
                <w:bdr w:val="none" w:color="auto" w:sz="0" w:space="0"/>
                <w:lang w:val="en-US" w:eastAsia="zh-CN" w:bidi="ar"/>
              </w:rPr>
              <w:t>PEDIATRIE</w:t>
            </w:r>
          </w:p>
        </w:tc>
      </w:tr>
    </w:tbl>
    <w:p>
      <w:pPr>
        <w:spacing w:line="360" w:lineRule="auto"/>
        <w:rPr>
          <w:rFonts w:ascii="Arial Narrow" w:hAnsi="Arial Narrow" w:cs="Arial"/>
          <w:szCs w:val="20"/>
          <w:lang w:val="en-US"/>
        </w:rPr>
      </w:pPr>
    </w:p>
    <w:p>
      <w:pPr>
        <w:spacing w:line="360" w:lineRule="auto"/>
        <w:rPr>
          <w:rFonts w:ascii="Arial Narrow" w:hAnsi="Arial Narrow"/>
          <w:sz w:val="32"/>
          <w:lang w:val="en-US"/>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EE"/>
    <w:family w:val="swiss"/>
    <w:pitch w:val="default"/>
    <w:sig w:usb0="00000287" w:usb1="00000800" w:usb2="00000000" w:usb3="00000000" w:csb0="2000009F" w:csb1="DFD70000"/>
  </w:font>
  <w:font w:name="Arial">
    <w:panose1 w:val="020B0604020202020204"/>
    <w:charset w:val="EE"/>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56"/>
    <w:rsid w:val="000F79B0"/>
    <w:rsid w:val="001641AB"/>
    <w:rsid w:val="00193769"/>
    <w:rsid w:val="00526D56"/>
    <w:rsid w:val="005315C3"/>
    <w:rsid w:val="006B0735"/>
    <w:rsid w:val="006D23E4"/>
    <w:rsid w:val="00907402"/>
    <w:rsid w:val="00A35724"/>
    <w:rsid w:val="5C6E52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Balloon Text"/>
  </w:latentStyles>
  <w:style w:type="paragraph" w:default="1" w:styleId="1">
    <w:name w:val="Normal"/>
    <w:qFormat/>
    <w:uiPriority w:val="0"/>
    <w:rPr>
      <w:sz w:val="24"/>
      <w:szCs w:val="24"/>
      <w:lang w:val="ro-RO" w:eastAsia="ro-RO"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HCData</Company>
  <Pages>1</Pages>
  <Words>320</Words>
  <Characters>1858</Characters>
  <Lines>15</Lines>
  <Paragraphs>4</Paragraphs>
  <TotalTime>2</TotalTime>
  <ScaleCrop>false</ScaleCrop>
  <LinksUpToDate>false</LinksUpToDate>
  <CharactersWithSpaces>2174</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2021-07-22T07:57:00Z</dcterms:created>
  <dc:creator>CAS</dc:creator>
  <cp:lastModifiedBy>WPS_1622709832</cp:lastModifiedBy>
  <cp:lastPrinted>2021-07-13T13:48:00Z</cp:lastPrinted>
  <dcterms:modified xsi:type="dcterms:W3CDTF">2021-07-23T10:12:53Z</dcterms:modified>
  <dc:title>Zone deficitare 2021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1036-11.2.0.10200</vt:lpwstr>
  </property>
</Properties>
</file>