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28" w:rsidRDefault="003C78FF" w:rsidP="004F6528">
      <w:pPr>
        <w:ind w:firstLine="990"/>
      </w:pPr>
      <w:r w:rsidRPr="005F3E74">
        <w:rPr>
          <w:noProof/>
        </w:rPr>
        <w:drawing>
          <wp:anchor distT="0" distB="0" distL="114300" distR="114300" simplePos="0" relativeHeight="251659264" behindDoc="0" locked="0" layoutInCell="1" allowOverlap="1" wp14:anchorId="2D415CA4" wp14:editId="3F8BC8A2">
            <wp:simplePos x="0" y="0"/>
            <wp:positionH relativeFrom="column">
              <wp:posOffset>1849120</wp:posOffset>
            </wp:positionH>
            <wp:positionV relativeFrom="paragraph">
              <wp:posOffset>-61595</wp:posOffset>
            </wp:positionV>
            <wp:extent cx="3602990" cy="1036955"/>
            <wp:effectExtent l="0" t="0" r="0" b="0"/>
            <wp:wrapSquare wrapText="bothSides"/>
            <wp:docPr id="12"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7" cstate="print"/>
                    <a:srcRect l="-2921" t="-768" r="-2565" b="-8820"/>
                    <a:stretch>
                      <a:fillRect/>
                    </a:stretch>
                  </pic:blipFill>
                  <pic:spPr bwMode="auto">
                    <a:xfrm>
                      <a:off x="0" y="0"/>
                      <a:ext cx="3602990" cy="1036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47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2.15pt;margin-top:2.35pt;width:44.55pt;height:50.4pt;z-index:251660288;mso-position-horizontal-relative:text;mso-position-vertical-relative:text" o:allowincell="f">
            <v:imagedata r:id="rId8" o:title="" gain="112993f" blacklevel="-1966f"/>
            <w10:wrap type="topAndBottom"/>
          </v:shape>
          <o:OLEObject Type="Embed" ProgID="MS_ClipArt_Gallery.5" ShapeID="_x0000_s1026" DrawAspect="Content" ObjectID="_1614411667" r:id="rId9"/>
        </w:pict>
      </w:r>
      <w:r w:rsidR="004F6528" w:rsidRPr="006D06FC">
        <w:rPr>
          <w:noProof/>
        </w:rPr>
        <w:drawing>
          <wp:inline distT="0" distB="0" distL="0" distR="0" wp14:anchorId="232E91FA" wp14:editId="4CA2EAC7">
            <wp:extent cx="533400" cy="600075"/>
            <wp:effectExtent l="0" t="0" r="0" b="9525"/>
            <wp:docPr id="4" name="Picture 4" descr="banner_st_1"/>
            <wp:cNvGraphicFramePr/>
            <a:graphic xmlns:a="http://schemas.openxmlformats.org/drawingml/2006/main">
              <a:graphicData uri="http://schemas.openxmlformats.org/drawingml/2006/picture">
                <pic:pic xmlns:pic="http://schemas.openxmlformats.org/drawingml/2006/picture">
                  <pic:nvPicPr>
                    <pic:cNvPr id="19" name="Picture 2" descr="banner_s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a:extLst/>
                  </pic:spPr>
                </pic:pic>
              </a:graphicData>
            </a:graphic>
          </wp:inline>
        </w:drawing>
      </w:r>
    </w:p>
    <w:p w:rsidR="004F6528" w:rsidRPr="00BC1199" w:rsidRDefault="004F6528" w:rsidP="00BC1199">
      <w:pPr>
        <w:spacing w:line="360" w:lineRule="auto"/>
        <w:ind w:left="720"/>
        <w:jc w:val="both"/>
        <w:rPr>
          <w:rFonts w:ascii="Times New Roman" w:eastAsia="SimSun" w:hAnsi="Times New Roman" w:cs="Times New Roman"/>
          <w:sz w:val="28"/>
          <w:szCs w:val="24"/>
          <w:lang w:val="ro-RO" w:eastAsia="zh-CN"/>
        </w:rPr>
      </w:pPr>
      <w:r w:rsidRPr="006D06FC">
        <w:rPr>
          <w:rFonts w:ascii="Times New Roman" w:hAnsi="Times New Roman" w:cs="Times New Roman"/>
          <w:sz w:val="16"/>
          <w:szCs w:val="16"/>
        </w:rPr>
        <w:t xml:space="preserve">MINISTERUL </w:t>
      </w:r>
      <w:r w:rsidR="00BC1199">
        <w:rPr>
          <w:rFonts w:ascii="Times New Roman" w:hAnsi="Times New Roman" w:cs="Times New Roman"/>
          <w:sz w:val="16"/>
          <w:szCs w:val="16"/>
        </w:rPr>
        <w:tab/>
      </w:r>
      <w:r w:rsidR="00BC1199">
        <w:rPr>
          <w:rFonts w:ascii="Times New Roman" w:hAnsi="Times New Roman" w:cs="Times New Roman"/>
          <w:sz w:val="16"/>
          <w:szCs w:val="16"/>
        </w:rPr>
        <w:tab/>
      </w:r>
      <w:r w:rsidR="00F72089">
        <w:rPr>
          <w:rFonts w:ascii="Times New Roman" w:eastAsia="SimSun" w:hAnsi="Times New Roman" w:cs="Times New Roman"/>
          <w:b/>
          <w:sz w:val="16"/>
          <w:szCs w:val="24"/>
          <w:lang w:val="ro-RO" w:eastAsia="zh-CN"/>
        </w:rPr>
        <w:t>DSP ARGES</w:t>
      </w:r>
      <w:r w:rsidR="00BC1199">
        <w:rPr>
          <w:rFonts w:ascii="Times New Roman" w:eastAsia="SimSun" w:hAnsi="Times New Roman" w:cs="Times New Roman"/>
          <w:sz w:val="28"/>
          <w:szCs w:val="24"/>
          <w:lang w:val="ro-RO" w:eastAsia="zh-CN"/>
        </w:rPr>
        <w:t xml:space="preserve">                 </w:t>
      </w:r>
      <w:r w:rsidRPr="006D06FC">
        <w:rPr>
          <w:rFonts w:ascii="Times New Roman" w:hAnsi="Times New Roman" w:cs="Times New Roman"/>
          <w:sz w:val="16"/>
          <w:szCs w:val="16"/>
        </w:rPr>
        <w:t>SANATATII</w:t>
      </w:r>
    </w:p>
    <w:p w:rsidR="0064583F" w:rsidRDefault="0064583F" w:rsidP="000775ED">
      <w:pPr>
        <w:spacing w:after="0" w:line="240" w:lineRule="auto"/>
        <w:ind w:firstLine="720"/>
        <w:jc w:val="center"/>
        <w:rPr>
          <w:rFonts w:ascii="Times New Roman" w:hAnsi="Times New Roman"/>
          <w:b/>
          <w:sz w:val="28"/>
          <w:szCs w:val="28"/>
        </w:rPr>
      </w:pPr>
    </w:p>
    <w:p w:rsidR="000775ED" w:rsidRDefault="000775ED" w:rsidP="000775ED">
      <w:pPr>
        <w:spacing w:after="0" w:line="240" w:lineRule="auto"/>
        <w:ind w:firstLine="720"/>
        <w:jc w:val="center"/>
        <w:rPr>
          <w:rFonts w:ascii="Times New Roman" w:hAnsi="Times New Roman"/>
          <w:b/>
          <w:sz w:val="28"/>
          <w:szCs w:val="28"/>
        </w:rPr>
      </w:pPr>
      <w:r w:rsidRPr="0047130B">
        <w:rPr>
          <w:rFonts w:ascii="Times New Roman" w:hAnsi="Times New Roman"/>
          <w:b/>
          <w:sz w:val="28"/>
          <w:szCs w:val="28"/>
        </w:rPr>
        <w:t>COMUNICAT DE PRESĂ</w:t>
      </w:r>
    </w:p>
    <w:p w:rsidR="0064583F" w:rsidRPr="0047130B" w:rsidRDefault="0064583F" w:rsidP="000775ED">
      <w:pPr>
        <w:spacing w:after="0" w:line="240" w:lineRule="auto"/>
        <w:ind w:firstLine="720"/>
        <w:jc w:val="center"/>
        <w:rPr>
          <w:rFonts w:ascii="Times New Roman" w:hAnsi="Times New Roman"/>
          <w:b/>
          <w:sz w:val="28"/>
          <w:szCs w:val="28"/>
        </w:rPr>
      </w:pPr>
    </w:p>
    <w:p w:rsidR="00A10462" w:rsidRDefault="000A51A4" w:rsidP="0047130B">
      <w:pPr>
        <w:tabs>
          <w:tab w:val="left" w:pos="720"/>
        </w:tabs>
        <w:jc w:val="center"/>
        <w:rPr>
          <w:rFonts w:ascii="Times New Roman" w:hAnsi="Times New Roman" w:cs="Times New Roman"/>
          <w:b/>
          <w:noProof/>
          <w:sz w:val="28"/>
          <w:szCs w:val="28"/>
          <w:lang w:val="ro-RO"/>
        </w:rPr>
      </w:pPr>
      <w:r w:rsidRPr="0047130B">
        <w:rPr>
          <w:rFonts w:ascii="Times New Roman" w:hAnsi="Times New Roman" w:cs="Times New Roman"/>
          <w:b/>
          <w:noProof/>
          <w:sz w:val="28"/>
          <w:szCs w:val="28"/>
          <w:lang w:val="ro-RO"/>
        </w:rPr>
        <w:t>Ziua Mondială</w:t>
      </w:r>
      <w:r w:rsidR="000775ED" w:rsidRPr="0047130B">
        <w:rPr>
          <w:rFonts w:ascii="Times New Roman" w:hAnsi="Times New Roman" w:cs="Times New Roman"/>
          <w:b/>
          <w:noProof/>
          <w:sz w:val="28"/>
          <w:szCs w:val="28"/>
          <w:lang w:val="ro-RO"/>
        </w:rPr>
        <w:t xml:space="preserve"> a Sănătăţii Orale</w:t>
      </w:r>
      <w:r w:rsidR="000775ED" w:rsidRPr="0047130B">
        <w:rPr>
          <w:rFonts w:ascii="Times New Roman" w:hAnsi="Times New Roman"/>
          <w:b/>
          <w:noProof/>
          <w:sz w:val="28"/>
          <w:szCs w:val="28"/>
        </w:rPr>
        <w:t xml:space="preserve"> - </w:t>
      </w:r>
      <w:r w:rsidR="000775ED" w:rsidRPr="0047130B">
        <w:rPr>
          <w:rFonts w:ascii="Times New Roman" w:hAnsi="Times New Roman" w:cs="Times New Roman"/>
          <w:b/>
          <w:noProof/>
          <w:sz w:val="28"/>
          <w:szCs w:val="28"/>
          <w:lang w:val="ro-RO"/>
        </w:rPr>
        <w:t>20 martie 2019</w:t>
      </w:r>
    </w:p>
    <w:p w:rsidR="0064583F" w:rsidRPr="0047130B" w:rsidRDefault="0064583F" w:rsidP="0047130B">
      <w:pPr>
        <w:tabs>
          <w:tab w:val="left" w:pos="720"/>
        </w:tabs>
        <w:jc w:val="center"/>
        <w:rPr>
          <w:rFonts w:ascii="Times New Roman" w:hAnsi="Times New Roman"/>
          <w:sz w:val="28"/>
          <w:szCs w:val="28"/>
        </w:rPr>
      </w:pPr>
    </w:p>
    <w:p w:rsidR="000775ED" w:rsidRPr="002C2474" w:rsidRDefault="000775ED" w:rsidP="003F766D">
      <w:pPr>
        <w:spacing w:after="120"/>
        <w:ind w:firstLine="708"/>
        <w:jc w:val="both"/>
        <w:rPr>
          <w:rFonts w:ascii="Times New Roman" w:hAnsi="Times New Roman"/>
          <w:noProof/>
          <w:sz w:val="24"/>
          <w:szCs w:val="24"/>
          <w:lang w:val="ro-RO"/>
        </w:rPr>
      </w:pPr>
      <w:r w:rsidRPr="002C2474">
        <w:rPr>
          <w:rFonts w:ascii="Times New Roman" w:hAnsi="Times New Roman"/>
          <w:sz w:val="24"/>
          <w:szCs w:val="24"/>
        </w:rPr>
        <w:t xml:space="preserve">Ziua </w:t>
      </w:r>
      <w:r w:rsidRPr="002C2474">
        <w:rPr>
          <w:rFonts w:ascii="Times New Roman" w:hAnsi="Times New Roman"/>
          <w:noProof/>
          <w:sz w:val="24"/>
          <w:szCs w:val="24"/>
          <w:lang w:val="ro-RO"/>
        </w:rPr>
        <w:t>Mondială a Sănătăţii Orale – o iniţiativă a Federaţiei Internaţionale a Dentiştilor (FDI) este sărbătorită anual pe data de 20 martie. Acţiunile desfăşurate cu acest prilej au ca scop creşterea, la nivel global, a gradului de conştientizare a populaţiei privind importanţa menţinerii unei stări optime a sănătăţii orale la orice vârstă.</w:t>
      </w:r>
    </w:p>
    <w:p w:rsidR="000775ED" w:rsidRPr="002C2474" w:rsidRDefault="000775ED" w:rsidP="003F766D">
      <w:pPr>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Prima zi internaţională legată de Sănătatea Orală a fost celebrată încă din anul 1994, în Anul Internaţional al Sănătăţii Orale. </w:t>
      </w:r>
    </w:p>
    <w:p w:rsidR="000775ED" w:rsidRPr="002C2474" w:rsidRDefault="000775ED"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Federaţia Internaţională a Dentiştilor (FDI), subliniază, prin </w:t>
      </w:r>
      <w:r w:rsidR="00E57A85" w:rsidRPr="002C2474">
        <w:rPr>
          <w:rFonts w:ascii="Times New Roman" w:hAnsi="Times New Roman"/>
          <w:noProof/>
          <w:sz w:val="24"/>
          <w:szCs w:val="24"/>
          <w:lang w:val="ro-RO"/>
        </w:rPr>
        <w:t>sloganul</w:t>
      </w:r>
      <w:r w:rsidRPr="002C2474">
        <w:rPr>
          <w:rFonts w:ascii="Times New Roman" w:hAnsi="Times New Roman"/>
          <w:noProof/>
          <w:sz w:val="24"/>
          <w:szCs w:val="24"/>
          <w:lang w:val="ro-RO"/>
        </w:rPr>
        <w:t xml:space="preserve"> de anul acesta </w:t>
      </w:r>
      <w:r w:rsidR="004A1146" w:rsidRPr="002C2474">
        <w:rPr>
          <w:rFonts w:ascii="Times New Roman" w:hAnsi="Times New Roman"/>
          <w:b/>
          <w:i/>
          <w:noProof/>
          <w:sz w:val="24"/>
          <w:szCs w:val="24"/>
          <w:lang w:val="ro-RO"/>
        </w:rPr>
        <w:t>"Spune Aaaa</w:t>
      </w:r>
      <w:r w:rsidRPr="002C2474">
        <w:rPr>
          <w:rFonts w:ascii="Times New Roman" w:hAnsi="Times New Roman"/>
          <w:b/>
          <w:i/>
          <w:noProof/>
          <w:sz w:val="24"/>
          <w:szCs w:val="24"/>
          <w:lang w:val="ro-RO"/>
        </w:rPr>
        <w:t>!</w:t>
      </w:r>
      <w:r w:rsidR="005C5053" w:rsidRPr="002C2474">
        <w:rPr>
          <w:rFonts w:ascii="Times New Roman" w:hAnsi="Times New Roman"/>
          <w:b/>
          <w:i/>
          <w:noProof/>
          <w:sz w:val="24"/>
          <w:szCs w:val="24"/>
          <w:lang w:val="ro-RO"/>
        </w:rPr>
        <w:t xml:space="preserve"> Acționează acum pentru sănătatea </w:t>
      </w:r>
      <w:r w:rsidR="00D91096" w:rsidRPr="002C2474">
        <w:rPr>
          <w:rFonts w:ascii="Times New Roman" w:hAnsi="Times New Roman"/>
          <w:b/>
          <w:i/>
          <w:noProof/>
          <w:sz w:val="24"/>
          <w:szCs w:val="24"/>
          <w:lang w:val="ro-RO"/>
        </w:rPr>
        <w:t xml:space="preserve">ta </w:t>
      </w:r>
      <w:r w:rsidR="005C5053" w:rsidRPr="002C2474">
        <w:rPr>
          <w:rFonts w:ascii="Times New Roman" w:hAnsi="Times New Roman"/>
          <w:b/>
          <w:i/>
          <w:noProof/>
          <w:sz w:val="24"/>
          <w:szCs w:val="24"/>
          <w:lang w:val="ro-RO"/>
        </w:rPr>
        <w:t>orală</w:t>
      </w:r>
      <w:r w:rsidR="004A1146" w:rsidRPr="002C2474">
        <w:rPr>
          <w:rFonts w:ascii="Times New Roman" w:hAnsi="Times New Roman"/>
          <w:b/>
          <w:i/>
          <w:noProof/>
          <w:sz w:val="24"/>
          <w:szCs w:val="24"/>
          <w:lang w:val="ro-RO"/>
        </w:rPr>
        <w:t>!”</w:t>
      </w:r>
      <w:r w:rsidR="005C5053" w:rsidRPr="002C2474">
        <w:rPr>
          <w:rFonts w:ascii="Times New Roman" w:hAnsi="Times New Roman"/>
          <w:b/>
          <w:i/>
          <w:noProof/>
          <w:sz w:val="24"/>
          <w:szCs w:val="24"/>
          <w:lang w:val="ro-RO"/>
        </w:rPr>
        <w:t xml:space="preserve"> </w:t>
      </w:r>
      <w:r w:rsidRPr="002C2474">
        <w:rPr>
          <w:rFonts w:ascii="Times New Roman" w:hAnsi="Times New Roman"/>
          <w:noProof/>
          <w:sz w:val="24"/>
          <w:szCs w:val="24"/>
          <w:lang w:val="ro-RO"/>
        </w:rPr>
        <w:t>importanţa efectuării controalelor</w:t>
      </w:r>
      <w:r w:rsidR="005C5053" w:rsidRPr="002C2474">
        <w:rPr>
          <w:rFonts w:ascii="Times New Roman" w:hAnsi="Times New Roman"/>
          <w:noProof/>
          <w:sz w:val="24"/>
          <w:szCs w:val="24"/>
          <w:lang w:val="ro-RO"/>
        </w:rPr>
        <w:t xml:space="preserve"> </w:t>
      </w:r>
      <w:r w:rsidRPr="002C2474">
        <w:rPr>
          <w:rFonts w:ascii="Times New Roman" w:hAnsi="Times New Roman"/>
          <w:noProof/>
          <w:sz w:val="24"/>
          <w:szCs w:val="24"/>
          <w:lang w:val="ro-RO"/>
        </w:rPr>
        <w:t xml:space="preserve"> stomatologice periodice, alături de atenţia deosebită ce trebuie acordată, încă de la vârste mici, igienei orale corecte şi alimentaţiei sănătoase.</w:t>
      </w:r>
    </w:p>
    <w:p w:rsidR="00DC0FF6" w:rsidRPr="00DC0FF6" w:rsidRDefault="00DC0FF6" w:rsidP="003F766D">
      <w:pPr>
        <w:spacing w:after="0" w:line="240" w:lineRule="auto"/>
        <w:ind w:firstLine="360"/>
        <w:jc w:val="both"/>
        <w:rPr>
          <w:rFonts w:ascii="Times New Roman" w:eastAsia="SimSun" w:hAnsi="Times New Roman" w:cs="Times New Roman"/>
          <w:sz w:val="24"/>
          <w:szCs w:val="24"/>
          <w:lang w:val="ro-RO" w:eastAsia="zh-CN"/>
        </w:rPr>
      </w:pPr>
      <w:r w:rsidRPr="00DC0FF6">
        <w:rPr>
          <w:rFonts w:ascii="Times New Roman" w:eastAsia="SimSun" w:hAnsi="Times New Roman" w:cs="Times New Roman"/>
          <w:b/>
          <w:sz w:val="24"/>
          <w:szCs w:val="24"/>
          <w:lang w:val="ro-RO" w:eastAsia="zh-CN"/>
        </w:rPr>
        <w:t>Obiectivele generale</w:t>
      </w:r>
      <w:r w:rsidRPr="00DC0FF6">
        <w:rPr>
          <w:rFonts w:ascii="Times New Roman" w:eastAsia="SimSun" w:hAnsi="Times New Roman" w:cs="Times New Roman"/>
          <w:sz w:val="24"/>
          <w:szCs w:val="24"/>
          <w:lang w:val="ro-RO" w:eastAsia="zh-CN"/>
        </w:rPr>
        <w:t xml:space="preserve"> ale acestei campanii sunt:</w:t>
      </w:r>
    </w:p>
    <w:p w:rsidR="00DC0FF6" w:rsidRPr="00DC0FF6" w:rsidRDefault="00DC0FF6" w:rsidP="003F766D">
      <w:pPr>
        <w:numPr>
          <w:ilvl w:val="0"/>
          <w:numId w:val="2"/>
        </w:numPr>
        <w:spacing w:after="0" w:line="240" w:lineRule="auto"/>
        <w:jc w:val="both"/>
        <w:rPr>
          <w:rFonts w:ascii="Times New Roman" w:eastAsia="SimSun" w:hAnsi="Times New Roman" w:cs="Times New Roman"/>
          <w:sz w:val="24"/>
          <w:szCs w:val="24"/>
          <w:lang w:val="ro-RO" w:eastAsia="zh-CN"/>
        </w:rPr>
      </w:pPr>
      <w:r w:rsidRPr="00DC0FF6">
        <w:rPr>
          <w:rFonts w:ascii="Times New Roman" w:eastAsia="SimSun" w:hAnsi="Times New Roman" w:cs="Times New Roman"/>
          <w:sz w:val="24"/>
          <w:szCs w:val="24"/>
          <w:lang w:val="ro-RO" w:eastAsia="zh-CN"/>
        </w:rPr>
        <w:t xml:space="preserve">Creşterea numărului de persoane din grupul ţintă informate privind importanţa sănătăţii orale şi riscurile neglijării acesteia; </w:t>
      </w:r>
    </w:p>
    <w:p w:rsidR="00DC0FF6" w:rsidRPr="00DC0FF6" w:rsidRDefault="00DC0FF6" w:rsidP="003F766D">
      <w:pPr>
        <w:numPr>
          <w:ilvl w:val="0"/>
          <w:numId w:val="2"/>
        </w:numPr>
        <w:spacing w:after="0" w:line="240" w:lineRule="auto"/>
        <w:jc w:val="both"/>
        <w:rPr>
          <w:rFonts w:ascii="Times New Roman" w:eastAsia="SimSun" w:hAnsi="Times New Roman" w:cs="Times New Roman"/>
          <w:sz w:val="24"/>
          <w:szCs w:val="24"/>
          <w:lang w:val="ro-RO" w:eastAsia="zh-CN"/>
        </w:rPr>
      </w:pPr>
      <w:r w:rsidRPr="00DC0FF6">
        <w:rPr>
          <w:rFonts w:ascii="Times New Roman" w:eastAsia="SimSun" w:hAnsi="Times New Roman" w:cs="Times New Roman"/>
          <w:sz w:val="24"/>
          <w:szCs w:val="24"/>
          <w:lang w:val="ro-RO" w:eastAsia="zh-CN"/>
        </w:rPr>
        <w:t>Creşterea numărului de persoane care adoptă comportamente sănătoase în vederea menţinerii sănătăţii orale;</w:t>
      </w:r>
    </w:p>
    <w:p w:rsidR="00DC0FF6" w:rsidRPr="00DC0FF6" w:rsidRDefault="00DC0FF6" w:rsidP="003F766D">
      <w:pPr>
        <w:numPr>
          <w:ilvl w:val="0"/>
          <w:numId w:val="3"/>
        </w:numPr>
        <w:spacing w:after="0" w:line="240" w:lineRule="auto"/>
        <w:jc w:val="both"/>
        <w:rPr>
          <w:rFonts w:ascii="Times New Roman" w:eastAsia="SimSun" w:hAnsi="Times New Roman" w:cs="Times New Roman"/>
          <w:sz w:val="24"/>
          <w:szCs w:val="24"/>
          <w:lang w:val="ro-RO" w:eastAsia="zh-CN"/>
        </w:rPr>
      </w:pPr>
      <w:r w:rsidRPr="00DC0FF6">
        <w:rPr>
          <w:rFonts w:ascii="Times New Roman" w:eastAsia="SimSun" w:hAnsi="Times New Roman" w:cs="Times New Roman"/>
          <w:sz w:val="24"/>
          <w:szCs w:val="24"/>
          <w:lang w:val="ro-RO" w:eastAsia="zh-CN"/>
        </w:rPr>
        <w:t>Formarea unor deprinderi sănătoase şi încurajarea tratamentului precoce al potenţialelor probleme dentare, pentru a evita îngrijirile tardive, mai dificile şi mai costisitoare</w:t>
      </w:r>
      <w:r w:rsidRPr="00DC0FF6">
        <w:rPr>
          <w:rFonts w:ascii="Times New Roman" w:eastAsia="SimSun" w:hAnsi="Times New Roman" w:cs="Times New Roman"/>
          <w:sz w:val="24"/>
          <w:szCs w:val="24"/>
          <w:lang w:val="it-IT" w:eastAsia="zh-CN"/>
        </w:rPr>
        <w:t>;</w:t>
      </w:r>
    </w:p>
    <w:p w:rsidR="00867AD1" w:rsidRPr="002C2474" w:rsidRDefault="00867AD1"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p>
    <w:p w:rsidR="00773057" w:rsidRPr="002C2474" w:rsidRDefault="00773057" w:rsidP="003F766D">
      <w:pPr>
        <w:shd w:val="clear" w:color="auto" w:fill="FFFFFF" w:themeFill="background1"/>
        <w:tabs>
          <w:tab w:val="left" w:pos="720"/>
        </w:tabs>
        <w:spacing w:after="120"/>
        <w:ind w:firstLine="708"/>
        <w:jc w:val="both"/>
        <w:rPr>
          <w:rFonts w:ascii="Times New Roman" w:hAnsi="Times New Roman"/>
          <w:noProof/>
          <w:sz w:val="24"/>
          <w:szCs w:val="24"/>
          <w:lang w:val="en-US"/>
        </w:rPr>
      </w:pPr>
      <w:r w:rsidRPr="002C2474">
        <w:rPr>
          <w:rFonts w:ascii="Times New Roman" w:hAnsi="Times New Roman"/>
          <w:bCs/>
          <w:iCs/>
          <w:noProof/>
          <w:sz w:val="24"/>
          <w:szCs w:val="24"/>
          <w:lang w:val="ro-RO"/>
        </w:rPr>
        <w:t>Conceptul sănătății orale include mai multe aspecte, astfel : conform definiției Organizației Mondiale a Sănătății,</w:t>
      </w:r>
      <w:r w:rsidR="00C71FC1">
        <w:rPr>
          <w:rFonts w:ascii="Times New Roman" w:hAnsi="Times New Roman"/>
          <w:bCs/>
          <w:iCs/>
          <w:noProof/>
          <w:sz w:val="24"/>
          <w:szCs w:val="24"/>
          <w:lang w:val="ro-RO"/>
        </w:rPr>
        <w:t xml:space="preserve"> </w:t>
      </w:r>
      <w:r w:rsidR="00C71FC1" w:rsidRPr="00C71FC1">
        <w:rPr>
          <w:rFonts w:ascii="Times New Roman" w:hAnsi="Times New Roman"/>
          <w:b/>
          <w:bCs/>
          <w:iCs/>
          <w:noProof/>
          <w:sz w:val="24"/>
          <w:szCs w:val="24"/>
          <w:lang w:val="ro-RO"/>
        </w:rPr>
        <w:t>reprezinta absenta afectiunilor dentare si a durerii faciale cronice</w:t>
      </w:r>
      <w:r w:rsidR="00C71FC1">
        <w:rPr>
          <w:rFonts w:ascii="Times New Roman" w:hAnsi="Times New Roman"/>
          <w:bCs/>
          <w:iCs/>
          <w:noProof/>
          <w:sz w:val="24"/>
          <w:szCs w:val="24"/>
          <w:lang w:val="ro-RO"/>
        </w:rPr>
        <w:t xml:space="preserve">, </w:t>
      </w:r>
      <w:r w:rsidRPr="002C2474">
        <w:rPr>
          <w:rFonts w:ascii="Times New Roman" w:hAnsi="Times New Roman"/>
          <w:bCs/>
          <w:iCs/>
          <w:noProof/>
          <w:sz w:val="24"/>
          <w:szCs w:val="24"/>
          <w:lang w:val="ro-RO"/>
        </w:rPr>
        <w:t xml:space="preserve">a cancerului orofaringian, a inflamaţiilor orale, defectelor congenitale cum ar fi labioschizis sau palatoschizis, afecţiunilor gingivale, cariilor dentare şi pierderii dinţilor şi a altor boli care afectează gura şi cavitatea orală, iar conform definitiei Federaţiei Dentare Internationale, ea  </w:t>
      </w:r>
      <w:r w:rsidRPr="002C2474">
        <w:rPr>
          <w:rFonts w:ascii="Times New Roman" w:hAnsi="Times New Roman"/>
          <w:iCs/>
          <w:noProof/>
          <w:sz w:val="24"/>
          <w:szCs w:val="24"/>
          <w:lang w:val="ro-RO"/>
        </w:rPr>
        <w:t>include capacitatea de a vorbi, zâmbi, mirosi, gusta, atinge, mesteca, înghiţi şi de exprima o serie de emoţii prin intermediul expresiei faciale, cu încredere şi fără durere, discomfort sau boli cranio-faciale complexe</w:t>
      </w:r>
      <w:r w:rsidRPr="002C2474">
        <w:rPr>
          <w:rFonts w:ascii="Times New Roman" w:hAnsi="Times New Roman"/>
          <w:noProof/>
          <w:sz w:val="24"/>
          <w:szCs w:val="24"/>
          <w:lang w:val="ro-RO"/>
        </w:rPr>
        <w:t>.</w:t>
      </w:r>
      <w:r w:rsidRPr="002C2474">
        <w:rPr>
          <w:rFonts w:ascii="Times New Roman" w:hAnsi="Times New Roman"/>
          <w:noProof/>
          <w:sz w:val="24"/>
          <w:szCs w:val="24"/>
          <w:lang w:val="en-US"/>
        </w:rPr>
        <w:t xml:space="preserve"> </w:t>
      </w:r>
      <w:r w:rsidRPr="002C2474">
        <w:rPr>
          <w:rFonts w:ascii="Times New Roman" w:hAnsi="Times New Roman"/>
          <w:noProof/>
          <w:sz w:val="24"/>
          <w:szCs w:val="24"/>
          <w:lang w:val="ro-RO"/>
        </w:rPr>
        <w:tab/>
      </w:r>
      <w:r w:rsidRPr="002C2474">
        <w:rPr>
          <w:rFonts w:ascii="Times New Roman" w:hAnsi="Times New Roman"/>
          <w:noProof/>
          <w:sz w:val="24"/>
          <w:szCs w:val="24"/>
          <w:lang w:val="ro-RO"/>
        </w:rPr>
        <w:tab/>
      </w:r>
      <w:r w:rsidRPr="002C2474">
        <w:rPr>
          <w:rFonts w:ascii="Times New Roman" w:hAnsi="Times New Roman"/>
          <w:noProof/>
          <w:sz w:val="24"/>
          <w:szCs w:val="24"/>
          <w:lang w:val="ro-RO"/>
        </w:rPr>
        <w:tab/>
      </w:r>
      <w:r w:rsidRPr="002C2474">
        <w:rPr>
          <w:rFonts w:ascii="Times New Roman" w:hAnsi="Times New Roman"/>
          <w:noProof/>
          <w:sz w:val="24"/>
          <w:szCs w:val="24"/>
          <w:lang w:val="ro-RO"/>
        </w:rPr>
        <w:tab/>
      </w:r>
      <w:r w:rsidRPr="002C2474">
        <w:rPr>
          <w:rFonts w:ascii="Times New Roman" w:hAnsi="Times New Roman"/>
          <w:noProof/>
          <w:sz w:val="24"/>
          <w:szCs w:val="24"/>
          <w:lang w:val="ro-RO"/>
        </w:rPr>
        <w:tab/>
      </w:r>
      <w:r w:rsidRPr="002C2474">
        <w:rPr>
          <w:rFonts w:ascii="Times New Roman" w:hAnsi="Times New Roman"/>
          <w:noProof/>
          <w:sz w:val="24"/>
          <w:szCs w:val="24"/>
          <w:lang w:val="ro-RO"/>
        </w:rPr>
        <w:tab/>
      </w:r>
    </w:p>
    <w:p w:rsidR="00773057" w:rsidRPr="002C2474" w:rsidRDefault="00773057"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 Atributele suplimentare legate de definiția stării de sănătate orală, conform </w:t>
      </w:r>
      <w:r w:rsidRPr="002C2474">
        <w:rPr>
          <w:rFonts w:ascii="Times New Roman" w:hAnsi="Times New Roman"/>
          <w:i/>
          <w:iCs/>
          <w:noProof/>
          <w:sz w:val="24"/>
          <w:szCs w:val="24"/>
          <w:lang w:val="ro-RO"/>
        </w:rPr>
        <w:t>Federaţiei Dentare Internaţionale sunt</w:t>
      </w:r>
      <w:r w:rsidRPr="002C2474">
        <w:rPr>
          <w:rFonts w:ascii="Times New Roman" w:hAnsi="Times New Roman"/>
          <w:noProof/>
          <w:sz w:val="24"/>
          <w:szCs w:val="24"/>
          <w:lang w:val="ro-RO"/>
        </w:rPr>
        <w:t xml:space="preserve">: </w:t>
      </w:r>
    </w:p>
    <w:p w:rsidR="00773057" w:rsidRPr="002C2474" w:rsidRDefault="00773057"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 este o componentă fundamentală a sănătății și </w:t>
      </w:r>
      <w:r w:rsidR="00C71FC1">
        <w:rPr>
          <w:rFonts w:ascii="Times New Roman" w:hAnsi="Times New Roman"/>
          <w:noProof/>
          <w:sz w:val="24"/>
          <w:szCs w:val="24"/>
          <w:lang w:val="ro-RO"/>
        </w:rPr>
        <w:t xml:space="preserve">o componenta </w:t>
      </w:r>
      <w:r w:rsidRPr="002C2474">
        <w:rPr>
          <w:rFonts w:ascii="Times New Roman" w:hAnsi="Times New Roman"/>
          <w:noProof/>
          <w:sz w:val="24"/>
          <w:szCs w:val="24"/>
          <w:lang w:val="ro-RO"/>
        </w:rPr>
        <w:t xml:space="preserve">fizică și mentală a </w:t>
      </w:r>
      <w:r w:rsidR="00C71FC1">
        <w:rPr>
          <w:rFonts w:ascii="Times New Roman" w:hAnsi="Times New Roman"/>
          <w:noProof/>
          <w:sz w:val="24"/>
          <w:szCs w:val="24"/>
          <w:lang w:val="ro-RO"/>
        </w:rPr>
        <w:t>bunăstării; r</w:t>
      </w:r>
      <w:r w:rsidRPr="002C2474">
        <w:rPr>
          <w:rFonts w:ascii="Times New Roman" w:hAnsi="Times New Roman"/>
          <w:noProof/>
          <w:sz w:val="24"/>
          <w:szCs w:val="24"/>
          <w:lang w:val="ro-RO"/>
        </w:rPr>
        <w:t>eprezinta un proces continuu influențat de valorile și atitudinile indivizilor și comunităților;</w:t>
      </w:r>
    </w:p>
    <w:p w:rsidR="00773057" w:rsidRPr="002C2474" w:rsidRDefault="00773057" w:rsidP="003F766D">
      <w:pPr>
        <w:shd w:val="clear" w:color="auto" w:fill="FFFFFF" w:themeFill="background1"/>
        <w:tabs>
          <w:tab w:val="left" w:pos="720"/>
        </w:tabs>
        <w:spacing w:after="120"/>
        <w:ind w:firstLine="708"/>
        <w:jc w:val="both"/>
        <w:rPr>
          <w:rFonts w:ascii="Times New Roman" w:hAnsi="Times New Roman"/>
          <w:noProof/>
          <w:sz w:val="24"/>
          <w:szCs w:val="24"/>
          <w:lang w:val="en-US"/>
        </w:rPr>
      </w:pPr>
      <w:r w:rsidRPr="002C2474">
        <w:rPr>
          <w:rFonts w:ascii="Times New Roman" w:hAnsi="Times New Roman"/>
          <w:noProof/>
          <w:sz w:val="24"/>
          <w:szCs w:val="24"/>
          <w:lang w:val="ro-RO"/>
        </w:rPr>
        <w:lastRenderedPageBreak/>
        <w:t>• reflectă atributele fiziologice, sociale și psihologice, care sunt esențiale pentru calitatea vieții;</w:t>
      </w:r>
    </w:p>
    <w:p w:rsidR="00773057" w:rsidRPr="002C2474" w:rsidRDefault="00773057" w:rsidP="003F766D">
      <w:pPr>
        <w:shd w:val="clear" w:color="auto" w:fill="FFFFFF" w:themeFill="background1"/>
        <w:tabs>
          <w:tab w:val="left" w:pos="720"/>
        </w:tabs>
        <w:spacing w:after="120"/>
        <w:ind w:firstLine="708"/>
        <w:jc w:val="both"/>
        <w:rPr>
          <w:rFonts w:ascii="Times New Roman" w:hAnsi="Times New Roman"/>
          <w:noProof/>
          <w:sz w:val="24"/>
          <w:szCs w:val="24"/>
          <w:lang w:val="en-US"/>
        </w:rPr>
      </w:pPr>
      <w:r w:rsidRPr="002C2474">
        <w:rPr>
          <w:rFonts w:ascii="Times New Roman" w:hAnsi="Times New Roman"/>
          <w:noProof/>
          <w:sz w:val="24"/>
          <w:szCs w:val="24"/>
          <w:lang w:val="ro-RO"/>
        </w:rPr>
        <w:t>• este influențată de experiențele individului în schimbare, percepții, așteptările și capacitatea de a se adapta la circumstanțe.</w:t>
      </w:r>
    </w:p>
    <w:p w:rsidR="00773057" w:rsidRPr="002C2474" w:rsidRDefault="00773057"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en-US"/>
        </w:rPr>
        <w:t xml:space="preserve">      </w:t>
      </w:r>
      <w:r w:rsidRPr="002C2474">
        <w:rPr>
          <w:rFonts w:ascii="Times New Roman" w:hAnsi="Times New Roman"/>
          <w:noProof/>
          <w:sz w:val="24"/>
          <w:szCs w:val="24"/>
          <w:lang w:val="ro-RO"/>
        </w:rPr>
        <w:t>Afecţiunile orale au în comun o gamă largă de factori de risc. Unii, cum ar fi vârsta, sexul şi factorii ereditari, nu pot fi modificaţi sau influenţaţi, dar asupra celorlalţi factori de risc: dieta nesănătoasă, consumul de tutun, abuzul de alcool și igiena orală deficitară se poate interveni.</w:t>
      </w:r>
    </w:p>
    <w:p w:rsidR="0064583F" w:rsidRDefault="00132D22" w:rsidP="003F766D">
      <w:pPr>
        <w:shd w:val="clear" w:color="auto" w:fill="FFFFFF" w:themeFill="background1"/>
        <w:tabs>
          <w:tab w:val="left" w:pos="720"/>
        </w:tabs>
        <w:spacing w:after="120"/>
        <w:ind w:firstLine="708"/>
        <w:jc w:val="both"/>
        <w:rPr>
          <w:rFonts w:ascii="Times New Roman" w:hAnsi="Times New Roman"/>
          <w:b/>
          <w:bCs/>
          <w:noProof/>
          <w:sz w:val="24"/>
          <w:szCs w:val="24"/>
          <w:lang w:val="ro-RO"/>
        </w:rPr>
      </w:pPr>
      <w:r w:rsidRPr="002C2474">
        <w:rPr>
          <w:rFonts w:ascii="Times New Roman" w:hAnsi="Times New Roman"/>
          <w:b/>
          <w:bCs/>
          <w:noProof/>
          <w:sz w:val="24"/>
          <w:szCs w:val="24"/>
          <w:lang w:val="ro-RO"/>
        </w:rPr>
        <w:t>Dieta nesănătoasă</w:t>
      </w:r>
    </w:p>
    <w:p w:rsidR="00617499" w:rsidRPr="002C2474" w:rsidRDefault="00773057" w:rsidP="003F766D">
      <w:pPr>
        <w:shd w:val="clear" w:color="auto" w:fill="FFFFFF" w:themeFill="background1"/>
        <w:tabs>
          <w:tab w:val="left" w:pos="720"/>
        </w:tabs>
        <w:spacing w:after="120"/>
        <w:ind w:firstLine="708"/>
        <w:jc w:val="both"/>
        <w:rPr>
          <w:rFonts w:ascii="Times New Roman" w:hAnsi="Times New Roman"/>
          <w:i/>
          <w:noProof/>
          <w:sz w:val="24"/>
          <w:szCs w:val="24"/>
          <w:lang w:val="ro-RO"/>
        </w:rPr>
      </w:pPr>
      <w:r w:rsidRPr="002C2474">
        <w:rPr>
          <w:rFonts w:ascii="Times New Roman" w:hAnsi="Times New Roman"/>
          <w:noProof/>
          <w:sz w:val="24"/>
          <w:szCs w:val="24"/>
          <w:lang w:val="ro-RO"/>
        </w:rPr>
        <w:t>Dieta influențează sănătatea cavității orale, dezvoltarea smalțului, debutul eroziunii dentare, starea de sănătate parodontală și a mucoasei orale în general.</w:t>
      </w:r>
    </w:p>
    <w:p w:rsidR="00617499" w:rsidRPr="002C2474" w:rsidRDefault="00773057" w:rsidP="003F766D">
      <w:pPr>
        <w:shd w:val="clear" w:color="auto" w:fill="FFFFFF" w:themeFill="background1"/>
        <w:tabs>
          <w:tab w:val="left" w:pos="720"/>
        </w:tabs>
        <w:spacing w:after="120"/>
        <w:ind w:firstLine="708"/>
        <w:jc w:val="both"/>
        <w:rPr>
          <w:rFonts w:ascii="Times New Roman" w:hAnsi="Times New Roman"/>
          <w:i/>
          <w:noProof/>
          <w:sz w:val="24"/>
          <w:szCs w:val="24"/>
          <w:lang w:val="ro-RO"/>
        </w:rPr>
      </w:pPr>
      <w:r w:rsidRPr="002C2474">
        <w:rPr>
          <w:rFonts w:ascii="Times New Roman" w:hAnsi="Times New Roman"/>
          <w:noProof/>
          <w:sz w:val="24"/>
          <w:szCs w:val="24"/>
          <w:lang w:val="ro-RO"/>
        </w:rPr>
        <w:t>Studiile care au investigat relația dintre afecțiunile orale și dietă au arătat că un deficit de vitamine și minerale în faza anterioară concepției afectează dezvoltarea embrionului, influențând organogeneza dentară, creșterea maxilarului și dezvoltarea craniului / feței.</w:t>
      </w:r>
    </w:p>
    <w:p w:rsidR="00617499" w:rsidRPr="002C2474" w:rsidRDefault="00773057" w:rsidP="003F766D">
      <w:pPr>
        <w:shd w:val="clear" w:color="auto" w:fill="FFFFFF" w:themeFill="background1"/>
        <w:tabs>
          <w:tab w:val="left" w:pos="720"/>
        </w:tabs>
        <w:spacing w:after="120"/>
        <w:ind w:firstLine="708"/>
        <w:jc w:val="both"/>
        <w:rPr>
          <w:rFonts w:ascii="Times New Roman" w:hAnsi="Times New Roman"/>
          <w:i/>
          <w:noProof/>
          <w:sz w:val="24"/>
          <w:szCs w:val="24"/>
          <w:lang w:val="ro-RO"/>
        </w:rPr>
      </w:pPr>
      <w:r w:rsidRPr="002C2474">
        <w:rPr>
          <w:rFonts w:ascii="Times New Roman" w:hAnsi="Times New Roman"/>
          <w:noProof/>
          <w:sz w:val="24"/>
          <w:szCs w:val="24"/>
          <w:lang w:val="ro-RO"/>
        </w:rPr>
        <w:t>O cantitate insuficientă de proteine ​​poate duce la: atrofia papilelor linguale, degenerare congenitală, modificarea dentinogenezei, dezvoltarea modificată a maxilarului, malocluzie, hipoplazia liniară a smalțului.</w:t>
      </w:r>
      <w:r w:rsidRPr="002C2474">
        <w:rPr>
          <w:rFonts w:ascii="Times New Roman" w:hAnsi="Times New Roman"/>
          <w:i/>
          <w:noProof/>
          <w:sz w:val="24"/>
          <w:szCs w:val="24"/>
          <w:lang w:val="ro-RO"/>
        </w:rPr>
        <w:t xml:space="preserve"> </w:t>
      </w:r>
    </w:p>
    <w:p w:rsidR="00617499" w:rsidRPr="002C2474" w:rsidRDefault="00773057" w:rsidP="003F766D">
      <w:pPr>
        <w:shd w:val="clear" w:color="auto" w:fill="FFFFFF" w:themeFill="background1"/>
        <w:tabs>
          <w:tab w:val="left" w:pos="720"/>
        </w:tabs>
        <w:spacing w:after="120"/>
        <w:ind w:firstLine="708"/>
        <w:jc w:val="both"/>
        <w:rPr>
          <w:rFonts w:ascii="Times New Roman" w:hAnsi="Times New Roman"/>
          <w:i/>
          <w:noProof/>
          <w:sz w:val="24"/>
          <w:szCs w:val="24"/>
          <w:lang w:val="ro-RO"/>
        </w:rPr>
      </w:pPr>
      <w:r w:rsidRPr="002C2474">
        <w:rPr>
          <w:rFonts w:ascii="Times New Roman" w:hAnsi="Times New Roman"/>
          <w:noProof/>
          <w:sz w:val="24"/>
          <w:szCs w:val="24"/>
          <w:lang w:val="ro-RO"/>
        </w:rPr>
        <w:t xml:space="preserve">Un aport insuficient de lipide poate duce la: patologii inflamatorii și degenerative, inflamația parotidei, degenerarea parenchimului glandular, modificarea trofismului mucoasei. De asemenea, o cantitate insuficientă de carbohidrați poate influența organogeneza și conduce la apariția cariilor și a bolii parodontale. </w:t>
      </w:r>
    </w:p>
    <w:p w:rsidR="00773057" w:rsidRPr="002C2474" w:rsidRDefault="00773057" w:rsidP="003F766D">
      <w:pPr>
        <w:shd w:val="clear" w:color="auto" w:fill="FFFFFF" w:themeFill="background1"/>
        <w:tabs>
          <w:tab w:val="left" w:pos="720"/>
        </w:tabs>
        <w:spacing w:after="120"/>
        <w:ind w:firstLine="708"/>
        <w:jc w:val="both"/>
        <w:rPr>
          <w:rFonts w:ascii="Times New Roman" w:hAnsi="Times New Roman"/>
          <w:i/>
          <w:noProof/>
          <w:sz w:val="24"/>
          <w:szCs w:val="24"/>
          <w:lang w:val="ro-RO"/>
        </w:rPr>
      </w:pPr>
      <w:r w:rsidRPr="002C2474">
        <w:rPr>
          <w:rFonts w:ascii="Times New Roman" w:hAnsi="Times New Roman"/>
          <w:noProof/>
          <w:sz w:val="24"/>
          <w:szCs w:val="24"/>
          <w:lang w:val="ro-RO"/>
        </w:rPr>
        <w:t>Consumul excesiv de zahăr din gustări, alimente procesate şi băuturi răcoritoare este un factor de risc important pentru afecţiunile orale. Băuturile răcoritoare includ orice băutură cu adaos de zahăr, cum ar fi băuturile carbogazoase, sucurile de fructe, băuturi sub formă de praf îndulcit și băuturi energizante.</w:t>
      </w:r>
    </w:p>
    <w:p w:rsidR="0064583F" w:rsidRDefault="00132D22" w:rsidP="003F766D">
      <w:pPr>
        <w:shd w:val="clear" w:color="auto" w:fill="FFFFFF" w:themeFill="background1"/>
        <w:tabs>
          <w:tab w:val="left" w:pos="720"/>
        </w:tabs>
        <w:spacing w:after="120"/>
        <w:ind w:firstLine="708"/>
        <w:jc w:val="both"/>
        <w:rPr>
          <w:rFonts w:ascii="Times New Roman" w:hAnsi="Times New Roman"/>
          <w:b/>
          <w:bCs/>
          <w:noProof/>
          <w:sz w:val="24"/>
          <w:szCs w:val="24"/>
          <w:lang w:val="ro-RO"/>
        </w:rPr>
      </w:pPr>
      <w:r w:rsidRPr="002C2474">
        <w:rPr>
          <w:rFonts w:ascii="Times New Roman" w:hAnsi="Times New Roman"/>
          <w:b/>
          <w:bCs/>
          <w:noProof/>
          <w:sz w:val="24"/>
          <w:szCs w:val="24"/>
          <w:lang w:val="ro-RO"/>
        </w:rPr>
        <w:t>Consumul de tutun</w:t>
      </w:r>
    </w:p>
    <w:p w:rsidR="00132D22" w:rsidRPr="002C2474" w:rsidRDefault="00132D22"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Consumul de tutun expune cavitatea bucală unui risc crescut de apariţie a afecţiunilor gingivale şi a cancerului oral. Un efect asemănător îl prezintă și țigările electronice.  </w:t>
      </w:r>
    </w:p>
    <w:p w:rsidR="00617499" w:rsidRPr="002C2474" w:rsidRDefault="00132D22"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De asemenea, fumatul este cauza respiraţiei urât mirositoare, pierderii premature a dinţilor, colorării dinților, modificării</w:t>
      </w:r>
      <w:r w:rsidR="00617499" w:rsidRPr="002C2474">
        <w:rPr>
          <w:rFonts w:ascii="Times New Roman" w:hAnsi="Times New Roman"/>
          <w:noProof/>
          <w:sz w:val="24"/>
          <w:szCs w:val="24"/>
          <w:lang w:val="ro-RO"/>
        </w:rPr>
        <w:t xml:space="preserve"> gustului sau mirosului</w:t>
      </w:r>
    </w:p>
    <w:p w:rsidR="0064583F" w:rsidRDefault="00132D22" w:rsidP="003F766D">
      <w:pPr>
        <w:shd w:val="clear" w:color="auto" w:fill="FFFFFF" w:themeFill="background1"/>
        <w:tabs>
          <w:tab w:val="left" w:pos="720"/>
        </w:tabs>
        <w:spacing w:after="120"/>
        <w:ind w:firstLine="708"/>
        <w:jc w:val="both"/>
        <w:rPr>
          <w:rFonts w:ascii="Times New Roman" w:hAnsi="Times New Roman"/>
          <w:b/>
          <w:noProof/>
          <w:sz w:val="24"/>
          <w:szCs w:val="24"/>
          <w:lang w:val="ro-RO"/>
        </w:rPr>
      </w:pPr>
      <w:r w:rsidRPr="002C2474">
        <w:rPr>
          <w:rFonts w:ascii="Times New Roman" w:hAnsi="Times New Roman"/>
          <w:b/>
          <w:noProof/>
          <w:sz w:val="24"/>
          <w:szCs w:val="24"/>
          <w:lang w:val="ro-RO"/>
        </w:rPr>
        <w:t>Consumul de alcool</w:t>
      </w:r>
      <w:r w:rsidR="0047130B">
        <w:rPr>
          <w:rFonts w:ascii="Times New Roman" w:hAnsi="Times New Roman"/>
          <w:b/>
          <w:noProof/>
          <w:sz w:val="24"/>
          <w:szCs w:val="24"/>
          <w:lang w:val="ro-RO"/>
        </w:rPr>
        <w:t xml:space="preserve"> </w:t>
      </w:r>
    </w:p>
    <w:p w:rsidR="00617499" w:rsidRPr="002C2474" w:rsidRDefault="00132D22"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Consumul excesiv de alcool poate cauza afecţiuni ale dinţilor şi cavităţii bucale şi poate conduce la apariţia cariilor dentare din cauza acidităţii şi conţinutului ridicat de zahăr din băuturile alcoolice. Alături de tutun, consumul excesiv de alcool poate creşte riscul apariţiei cancerului cavităţii bucale.</w:t>
      </w:r>
      <w:r w:rsidRPr="002C2474">
        <w:rPr>
          <w:rFonts w:ascii="Times New Roman" w:hAnsi="Times New Roman"/>
          <w:b/>
          <w:noProof/>
          <w:sz w:val="24"/>
          <w:szCs w:val="24"/>
          <w:lang w:val="ro-RO"/>
        </w:rPr>
        <w:t xml:space="preserve">    </w:t>
      </w:r>
    </w:p>
    <w:p w:rsidR="0064583F" w:rsidRDefault="00617499" w:rsidP="003F766D">
      <w:pPr>
        <w:shd w:val="clear" w:color="auto" w:fill="FFFFFF" w:themeFill="background1"/>
        <w:tabs>
          <w:tab w:val="left" w:pos="720"/>
        </w:tabs>
        <w:spacing w:after="120"/>
        <w:ind w:firstLine="708"/>
        <w:jc w:val="both"/>
        <w:rPr>
          <w:rFonts w:ascii="Times New Roman" w:hAnsi="Times New Roman"/>
          <w:b/>
          <w:bCs/>
          <w:noProof/>
          <w:sz w:val="24"/>
          <w:szCs w:val="24"/>
          <w:lang w:val="ro-RO"/>
        </w:rPr>
      </w:pPr>
      <w:r w:rsidRPr="002C2474">
        <w:rPr>
          <w:rFonts w:ascii="Times New Roman" w:hAnsi="Times New Roman"/>
          <w:b/>
          <w:bCs/>
          <w:noProof/>
          <w:sz w:val="24"/>
          <w:szCs w:val="24"/>
          <w:lang w:val="ro-RO"/>
        </w:rPr>
        <w:t>Igiena</w:t>
      </w:r>
      <w:r w:rsidR="00132D22" w:rsidRPr="002C2474">
        <w:rPr>
          <w:rFonts w:ascii="Times New Roman" w:hAnsi="Times New Roman"/>
          <w:b/>
          <w:bCs/>
          <w:noProof/>
          <w:sz w:val="24"/>
          <w:szCs w:val="24"/>
          <w:lang w:val="ro-RO"/>
        </w:rPr>
        <w:t xml:space="preserve"> orală deficitară</w:t>
      </w:r>
    </w:p>
    <w:p w:rsidR="00132D22" w:rsidRPr="002C2474" w:rsidRDefault="00132D22"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Igiena orală deficitară poate duce la acumularea de bacterii formatoare de placă dentară. Periajul dentar de două ori pe zi cu o pastă de dinţi cu fluor ajută la reducerea bacteriilor - prevenind, prin urmare, formarea plăcii. </w:t>
      </w:r>
    </w:p>
    <w:p w:rsidR="00DC0FF6" w:rsidRPr="002C2474" w:rsidRDefault="00132D22"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Detectarea precoce este cheia prevenţiei sau tratamentului afecţiunilor orale. Controalele regulate efectuate de către medicul dentist vă asigură că probleme cum ar fi cariile dentare, gingivita şi parodontoza sunt detectate şi tratate cât mai curând.</w:t>
      </w:r>
    </w:p>
    <w:p w:rsidR="009D15C5" w:rsidRPr="002C2474" w:rsidRDefault="009D15C5"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lastRenderedPageBreak/>
        <w:t xml:space="preserve">Organizaţia Mondială a Sănătăţii identifică urmatoarele grupuri ţintă majore cărora ar trebui să li se adreseze în mod expres campaniile privind sănătatea orală: </w:t>
      </w:r>
    </w:p>
    <w:p w:rsidR="009D15C5" w:rsidRPr="002C2474" w:rsidRDefault="009D15C5"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                         1.copiii de vârstă şcolară şi tineri </w:t>
      </w:r>
    </w:p>
    <w:p w:rsidR="009D15C5" w:rsidRPr="002C2474" w:rsidRDefault="009D15C5"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                         2.vârstnici</w:t>
      </w:r>
    </w:p>
    <w:p w:rsidR="009D15C5" w:rsidRPr="002C2474" w:rsidRDefault="009D15C5" w:rsidP="003F766D">
      <w:pPr>
        <w:shd w:val="clear" w:color="auto" w:fill="FFFFFF" w:themeFill="background1"/>
        <w:tabs>
          <w:tab w:val="left" w:pos="720"/>
        </w:tabs>
        <w:spacing w:after="120"/>
        <w:ind w:firstLine="708"/>
        <w:jc w:val="both"/>
        <w:rPr>
          <w:rFonts w:ascii="Times New Roman" w:hAnsi="Times New Roman"/>
          <w:noProof/>
          <w:sz w:val="24"/>
          <w:szCs w:val="24"/>
          <w:lang w:val="ro-RO"/>
        </w:rPr>
      </w:pPr>
      <w:r w:rsidRPr="002C2474">
        <w:rPr>
          <w:rFonts w:ascii="Times New Roman" w:hAnsi="Times New Roman"/>
          <w:noProof/>
          <w:sz w:val="24"/>
          <w:szCs w:val="24"/>
          <w:lang w:val="ro-RO"/>
        </w:rPr>
        <w:t xml:space="preserve">                         3.gravide</w:t>
      </w:r>
    </w:p>
    <w:p w:rsidR="000775ED" w:rsidRPr="002C2474" w:rsidRDefault="000775ED" w:rsidP="003F766D">
      <w:pPr>
        <w:spacing w:after="120"/>
        <w:ind w:firstLine="720"/>
        <w:jc w:val="both"/>
        <w:rPr>
          <w:rFonts w:ascii="Times New Roman" w:hAnsi="Times New Roman"/>
          <w:noProof/>
          <w:sz w:val="24"/>
          <w:szCs w:val="24"/>
          <w:lang w:val="ro-RO"/>
        </w:rPr>
      </w:pPr>
      <w:r w:rsidRPr="002C2474">
        <w:rPr>
          <w:rFonts w:ascii="Times New Roman" w:hAnsi="Times New Roman"/>
          <w:noProof/>
          <w:sz w:val="24"/>
          <w:szCs w:val="24"/>
          <w:lang w:val="ro-RO"/>
        </w:rPr>
        <w:t xml:space="preserve">În România, la desfăşurarea campaniei de anul acesta participă activ, timp de o lună, Ministerul Sănătăţii, Institutul Naţional de Sănătate Publică, Centrele Regionale de Sănătate Publică, Direcţiile de Sănătate Publică, inspectoratele şcolare, medici dentişti şi medici de familie. </w:t>
      </w:r>
    </w:p>
    <w:p w:rsidR="000775ED" w:rsidRPr="002C2474" w:rsidRDefault="00DC0FF6" w:rsidP="003F766D">
      <w:pPr>
        <w:spacing w:after="0" w:line="240" w:lineRule="auto"/>
        <w:jc w:val="both"/>
        <w:rPr>
          <w:rFonts w:ascii="Times New Roman" w:hAnsi="Times New Roman"/>
          <w:noProof/>
          <w:sz w:val="24"/>
          <w:szCs w:val="24"/>
          <w:lang w:val="ro-RO"/>
        </w:rPr>
      </w:pPr>
      <w:r w:rsidRPr="002C2474">
        <w:rPr>
          <w:rFonts w:ascii="Times New Roman" w:eastAsia="SimSun" w:hAnsi="Times New Roman" w:cs="Times New Roman"/>
          <w:sz w:val="24"/>
          <w:szCs w:val="24"/>
          <w:lang w:val="ro-RO" w:eastAsia="zh-CN"/>
        </w:rPr>
        <w:tab/>
      </w:r>
      <w:r w:rsidR="005F0AF7" w:rsidRPr="002C2474">
        <w:rPr>
          <w:rFonts w:ascii="Times New Roman" w:hAnsi="Times New Roman"/>
          <w:bCs/>
          <w:noProof/>
          <w:sz w:val="24"/>
          <w:szCs w:val="24"/>
          <w:lang w:val="ro-RO"/>
        </w:rPr>
        <w:t>La nivel judetean i</w:t>
      </w:r>
      <w:r w:rsidR="000775ED" w:rsidRPr="002C2474">
        <w:rPr>
          <w:rFonts w:ascii="Times New Roman" w:hAnsi="Times New Roman"/>
          <w:bCs/>
          <w:noProof/>
          <w:sz w:val="24"/>
          <w:szCs w:val="24"/>
          <w:lang w:val="ro-RO"/>
        </w:rPr>
        <w:t>nformaţiile privind afecţiunile orale şi factorii de risc determinanţi ai acestora precum şi recomandările adresate populaţiei ţintă în vederea menţinerii sănătăţii orale vor fi distribuite atât în format tipărit cât şi în format electronic, prin canale multi</w:t>
      </w:r>
      <w:r w:rsidR="008D4123" w:rsidRPr="002C2474">
        <w:rPr>
          <w:rFonts w:ascii="Times New Roman" w:hAnsi="Times New Roman"/>
          <w:bCs/>
          <w:noProof/>
          <w:sz w:val="24"/>
          <w:szCs w:val="24"/>
          <w:lang w:val="ro-RO"/>
        </w:rPr>
        <w:t>ple: web</w:t>
      </w:r>
      <w:r w:rsidR="005F0AF7" w:rsidRPr="002C2474">
        <w:rPr>
          <w:rFonts w:ascii="Times New Roman" w:hAnsi="Times New Roman"/>
          <w:bCs/>
          <w:noProof/>
          <w:sz w:val="24"/>
          <w:szCs w:val="24"/>
          <w:lang w:val="ro-RO"/>
        </w:rPr>
        <w:t>site-ul DSP Arges si transmiterea informatiilor prin</w:t>
      </w:r>
      <w:r w:rsidR="00867AD1" w:rsidRPr="002C2474">
        <w:rPr>
          <w:rFonts w:ascii="Times New Roman" w:hAnsi="Times New Roman"/>
          <w:bCs/>
          <w:noProof/>
          <w:sz w:val="24"/>
          <w:szCs w:val="24"/>
          <w:lang w:val="ro-RO"/>
        </w:rPr>
        <w:t xml:space="preserve"> intermediul mass-mediei locale, precum si </w:t>
      </w:r>
      <w:r w:rsidR="000775ED" w:rsidRPr="002C2474">
        <w:rPr>
          <w:rFonts w:ascii="Times New Roman" w:hAnsi="Times New Roman"/>
          <w:noProof/>
          <w:sz w:val="24"/>
          <w:szCs w:val="24"/>
          <w:lang w:val="ro-RO"/>
        </w:rPr>
        <w:t xml:space="preserve"> afişarea de postere, distribuirea de pliante, discuţii interactive</w:t>
      </w:r>
      <w:r w:rsidR="00867AD1" w:rsidRPr="002C2474">
        <w:rPr>
          <w:rFonts w:ascii="Times New Roman" w:hAnsi="Times New Roman"/>
          <w:noProof/>
          <w:sz w:val="24"/>
          <w:szCs w:val="24"/>
          <w:lang w:val="ro-RO"/>
        </w:rPr>
        <w:t xml:space="preserve"> in unitati de invatamant prescolar si scolar</w:t>
      </w:r>
      <w:r w:rsidR="00886CA6" w:rsidRPr="002C2474">
        <w:rPr>
          <w:rFonts w:ascii="Times New Roman" w:hAnsi="Times New Roman"/>
          <w:noProof/>
          <w:sz w:val="24"/>
          <w:szCs w:val="24"/>
          <w:lang w:val="ro-RO"/>
        </w:rPr>
        <w:t>.</w:t>
      </w:r>
    </w:p>
    <w:p w:rsidR="00886CA6" w:rsidRPr="002C2474" w:rsidRDefault="00886CA6" w:rsidP="003F766D">
      <w:pPr>
        <w:spacing w:after="0" w:line="240" w:lineRule="auto"/>
        <w:jc w:val="both"/>
        <w:rPr>
          <w:rFonts w:ascii="Times New Roman" w:hAnsi="Times New Roman"/>
          <w:noProof/>
          <w:sz w:val="24"/>
          <w:szCs w:val="24"/>
          <w:lang w:val="ro-RO"/>
        </w:rPr>
      </w:pPr>
    </w:p>
    <w:p w:rsidR="00886CA6" w:rsidRPr="002C2474" w:rsidRDefault="00886CA6" w:rsidP="003F766D">
      <w:pPr>
        <w:spacing w:after="0" w:line="240" w:lineRule="auto"/>
        <w:jc w:val="both"/>
        <w:rPr>
          <w:rFonts w:ascii="Times New Roman" w:hAnsi="Times New Roman"/>
          <w:noProof/>
          <w:sz w:val="24"/>
          <w:szCs w:val="24"/>
          <w:lang w:val="ro-RO"/>
        </w:rPr>
      </w:pPr>
    </w:p>
    <w:p w:rsidR="00886CA6" w:rsidRDefault="00886CA6" w:rsidP="003F766D">
      <w:pPr>
        <w:spacing w:after="0" w:line="240" w:lineRule="auto"/>
        <w:jc w:val="both"/>
        <w:rPr>
          <w:rFonts w:ascii="Times New Roman" w:hAnsi="Times New Roman"/>
          <w:noProof/>
          <w:sz w:val="24"/>
          <w:szCs w:val="24"/>
          <w:lang w:val="ro-RO"/>
        </w:rPr>
      </w:pPr>
    </w:p>
    <w:p w:rsidR="00F43525" w:rsidRDefault="00F43525" w:rsidP="003F766D">
      <w:pPr>
        <w:spacing w:after="0" w:line="240" w:lineRule="auto"/>
        <w:jc w:val="both"/>
        <w:rPr>
          <w:rFonts w:ascii="Times New Roman" w:hAnsi="Times New Roman"/>
          <w:noProof/>
          <w:sz w:val="24"/>
          <w:szCs w:val="24"/>
          <w:lang w:val="ro-RO"/>
        </w:rPr>
      </w:pPr>
    </w:p>
    <w:p w:rsidR="00F43525" w:rsidRDefault="00F43525" w:rsidP="003F766D">
      <w:pPr>
        <w:spacing w:after="0" w:line="240" w:lineRule="auto"/>
        <w:jc w:val="both"/>
        <w:rPr>
          <w:rFonts w:ascii="Times New Roman" w:hAnsi="Times New Roman"/>
          <w:noProof/>
          <w:sz w:val="24"/>
          <w:szCs w:val="24"/>
          <w:lang w:val="ro-RO"/>
        </w:rPr>
      </w:pPr>
    </w:p>
    <w:p w:rsidR="00F43525" w:rsidRDefault="00F43525" w:rsidP="003F766D">
      <w:pPr>
        <w:spacing w:after="0" w:line="240" w:lineRule="auto"/>
        <w:jc w:val="both"/>
        <w:rPr>
          <w:rFonts w:ascii="Times New Roman" w:hAnsi="Times New Roman"/>
          <w:noProof/>
          <w:sz w:val="24"/>
          <w:szCs w:val="24"/>
          <w:lang w:val="ro-RO"/>
        </w:rPr>
      </w:pPr>
    </w:p>
    <w:p w:rsidR="00F43525" w:rsidRDefault="00F43525" w:rsidP="003F766D">
      <w:pPr>
        <w:spacing w:after="0" w:line="240" w:lineRule="auto"/>
        <w:jc w:val="both"/>
        <w:rPr>
          <w:rFonts w:ascii="Times New Roman" w:hAnsi="Times New Roman"/>
          <w:noProof/>
          <w:sz w:val="24"/>
          <w:szCs w:val="24"/>
          <w:lang w:val="ro-RO"/>
        </w:rPr>
      </w:pPr>
    </w:p>
    <w:p w:rsidR="00F43525" w:rsidRPr="002C2474" w:rsidRDefault="00F43525" w:rsidP="003F766D">
      <w:pPr>
        <w:spacing w:after="0" w:line="240" w:lineRule="auto"/>
        <w:jc w:val="both"/>
        <w:rPr>
          <w:rFonts w:ascii="Times New Roman" w:hAnsi="Times New Roman"/>
          <w:noProof/>
          <w:sz w:val="24"/>
          <w:szCs w:val="24"/>
          <w:lang w:val="ro-RO"/>
        </w:rPr>
      </w:pPr>
    </w:p>
    <w:p w:rsidR="00886CA6" w:rsidRPr="002C2474" w:rsidRDefault="00886CA6" w:rsidP="003F766D">
      <w:pPr>
        <w:spacing w:after="0" w:line="240" w:lineRule="auto"/>
        <w:jc w:val="both"/>
        <w:rPr>
          <w:rFonts w:ascii="Times New Roman" w:hAnsi="Times New Roman"/>
          <w:noProof/>
          <w:sz w:val="24"/>
          <w:szCs w:val="24"/>
          <w:lang w:val="ro-RO"/>
        </w:rPr>
      </w:pPr>
    </w:p>
    <w:p w:rsidR="00886CA6" w:rsidRPr="002C2474" w:rsidRDefault="00886CA6" w:rsidP="00886CA6">
      <w:pPr>
        <w:spacing w:after="0" w:line="240" w:lineRule="auto"/>
        <w:jc w:val="both"/>
        <w:rPr>
          <w:rFonts w:ascii="Times New Roman" w:hAnsi="Times New Roman"/>
          <w:noProof/>
          <w:sz w:val="24"/>
          <w:szCs w:val="24"/>
          <w:lang w:val="ro-RO"/>
        </w:rPr>
      </w:pPr>
    </w:p>
    <w:p w:rsidR="00886CA6" w:rsidRDefault="00886CA6" w:rsidP="00886CA6">
      <w:pPr>
        <w:spacing w:after="0" w:line="240" w:lineRule="auto"/>
        <w:jc w:val="both"/>
        <w:rPr>
          <w:rFonts w:ascii="Times New Roman" w:hAnsi="Times New Roman"/>
          <w:b/>
          <w:noProof/>
          <w:sz w:val="28"/>
          <w:szCs w:val="28"/>
          <w:lang w:val="ro-RO"/>
        </w:rPr>
      </w:pPr>
      <w:r>
        <w:rPr>
          <w:rFonts w:ascii="Times New Roman" w:hAnsi="Times New Roman"/>
          <w:b/>
          <w:noProof/>
          <w:sz w:val="28"/>
          <w:szCs w:val="28"/>
          <w:lang w:val="ro-RO"/>
        </w:rPr>
        <w:t>DIRECTOR EXECUTIV</w:t>
      </w:r>
    </w:p>
    <w:p w:rsidR="00886CA6" w:rsidRDefault="00886CA6" w:rsidP="00886CA6">
      <w:pPr>
        <w:spacing w:after="0" w:line="240" w:lineRule="auto"/>
        <w:jc w:val="both"/>
        <w:rPr>
          <w:rFonts w:ascii="Times New Roman" w:hAnsi="Times New Roman"/>
          <w:b/>
          <w:noProof/>
          <w:sz w:val="28"/>
          <w:szCs w:val="28"/>
          <w:lang w:val="ro-RO"/>
        </w:rPr>
      </w:pPr>
      <w:r>
        <w:rPr>
          <w:rFonts w:ascii="Times New Roman" w:hAnsi="Times New Roman"/>
          <w:b/>
          <w:noProof/>
          <w:sz w:val="28"/>
          <w:szCs w:val="28"/>
          <w:lang w:val="ro-RO"/>
        </w:rPr>
        <w:t>Dr. Sorina HONTARU</w:t>
      </w:r>
    </w:p>
    <w:p w:rsidR="00886CA6" w:rsidRDefault="00886CA6" w:rsidP="00886CA6">
      <w:pPr>
        <w:spacing w:after="0" w:line="240" w:lineRule="auto"/>
        <w:jc w:val="both"/>
        <w:rPr>
          <w:rFonts w:ascii="Times New Roman" w:hAnsi="Times New Roman"/>
          <w:b/>
          <w:noProof/>
          <w:sz w:val="28"/>
          <w:szCs w:val="28"/>
          <w:lang w:val="ro-RO"/>
        </w:rPr>
      </w:pPr>
    </w:p>
    <w:p w:rsidR="00F43525" w:rsidRDefault="00F43525" w:rsidP="00886CA6">
      <w:pPr>
        <w:spacing w:after="0" w:line="240" w:lineRule="auto"/>
        <w:jc w:val="right"/>
        <w:rPr>
          <w:rFonts w:ascii="Times New Roman" w:hAnsi="Times New Roman"/>
          <w:b/>
          <w:noProof/>
          <w:sz w:val="18"/>
          <w:szCs w:val="18"/>
          <w:lang w:val="ro-RO"/>
        </w:rPr>
      </w:pPr>
    </w:p>
    <w:p w:rsidR="00F43525" w:rsidRDefault="00F43525" w:rsidP="00886CA6">
      <w:pPr>
        <w:spacing w:after="0" w:line="240" w:lineRule="auto"/>
        <w:jc w:val="right"/>
        <w:rPr>
          <w:rFonts w:ascii="Times New Roman" w:hAnsi="Times New Roman"/>
          <w:b/>
          <w:noProof/>
          <w:sz w:val="18"/>
          <w:szCs w:val="18"/>
          <w:lang w:val="ro-RO"/>
        </w:rPr>
      </w:pPr>
    </w:p>
    <w:p w:rsidR="00886CA6" w:rsidRPr="00886CA6" w:rsidRDefault="00886CA6" w:rsidP="00886CA6">
      <w:pPr>
        <w:spacing w:after="0" w:line="240" w:lineRule="auto"/>
        <w:jc w:val="right"/>
        <w:rPr>
          <w:rFonts w:ascii="Times New Roman" w:eastAsia="SimSun" w:hAnsi="Times New Roman" w:cs="Times New Roman"/>
          <w:b/>
          <w:sz w:val="18"/>
          <w:szCs w:val="18"/>
          <w:lang w:val="ro-RO" w:eastAsia="zh-CN"/>
        </w:rPr>
      </w:pPr>
      <w:bookmarkStart w:id="0" w:name="_GoBack"/>
      <w:bookmarkEnd w:id="0"/>
      <w:r>
        <w:rPr>
          <w:rFonts w:ascii="Times New Roman" w:hAnsi="Times New Roman"/>
          <w:b/>
          <w:noProof/>
          <w:sz w:val="18"/>
          <w:szCs w:val="18"/>
          <w:lang w:val="ro-RO"/>
        </w:rPr>
        <w:t>Intocmit Dr. E.L.</w:t>
      </w:r>
    </w:p>
    <w:p w:rsidR="00201252" w:rsidRDefault="00B34623" w:rsidP="00867AD1">
      <w:pPr>
        <w:ind w:left="547" w:right="274"/>
        <w:contextualSpacing/>
        <w:jc w:val="both"/>
      </w:pPr>
      <w:r>
        <w:rPr>
          <w:rFonts w:ascii="Times New Roman" w:hAnsi="Times New Roman" w:cs="Times New Roman"/>
          <w:noProof/>
          <w:sz w:val="28"/>
          <w:szCs w:val="28"/>
          <w:lang w:val="ro-RO"/>
        </w:rPr>
        <w:t xml:space="preserve"> </w:t>
      </w:r>
      <w:r w:rsidR="00076BDB">
        <w:rPr>
          <w:rFonts w:ascii="Times New Roman" w:hAnsi="Times New Roman" w:cs="Times New Roman"/>
          <w:noProof/>
          <w:sz w:val="28"/>
          <w:szCs w:val="28"/>
          <w:lang w:val="ro-RO"/>
        </w:rPr>
        <w:t xml:space="preserve"> </w:t>
      </w:r>
    </w:p>
    <w:sectPr w:rsidR="00201252" w:rsidSect="0064583F">
      <w:pgSz w:w="12240" w:h="15840"/>
      <w:pgMar w:top="1134"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1500"/>
    <w:multiLevelType w:val="hybridMultilevel"/>
    <w:tmpl w:val="B75CD80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69052302"/>
    <w:multiLevelType w:val="hybridMultilevel"/>
    <w:tmpl w:val="893EA87A"/>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
    <w:nsid w:val="778E5254"/>
    <w:multiLevelType w:val="hybridMultilevel"/>
    <w:tmpl w:val="738C609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28"/>
    <w:rsid w:val="00076BDB"/>
    <w:rsid w:val="000775ED"/>
    <w:rsid w:val="000A5004"/>
    <w:rsid w:val="000A51A4"/>
    <w:rsid w:val="00130E63"/>
    <w:rsid w:val="00132D22"/>
    <w:rsid w:val="00142BF4"/>
    <w:rsid w:val="001F560C"/>
    <w:rsid w:val="00201252"/>
    <w:rsid w:val="002343D6"/>
    <w:rsid w:val="002B7B59"/>
    <w:rsid w:val="002C2474"/>
    <w:rsid w:val="0031178B"/>
    <w:rsid w:val="003C604F"/>
    <w:rsid w:val="003C78FF"/>
    <w:rsid w:val="003F766D"/>
    <w:rsid w:val="0047130B"/>
    <w:rsid w:val="004A1146"/>
    <w:rsid w:val="004F6528"/>
    <w:rsid w:val="00521598"/>
    <w:rsid w:val="005C5053"/>
    <w:rsid w:val="005D5C1C"/>
    <w:rsid w:val="005F0AF7"/>
    <w:rsid w:val="0060140A"/>
    <w:rsid w:val="00617499"/>
    <w:rsid w:val="0064583F"/>
    <w:rsid w:val="006B0F1B"/>
    <w:rsid w:val="006B3083"/>
    <w:rsid w:val="00773057"/>
    <w:rsid w:val="007B746B"/>
    <w:rsid w:val="007C1C2E"/>
    <w:rsid w:val="0081397B"/>
    <w:rsid w:val="00867AD1"/>
    <w:rsid w:val="00883D76"/>
    <w:rsid w:val="00886CA6"/>
    <w:rsid w:val="008B4573"/>
    <w:rsid w:val="008D4123"/>
    <w:rsid w:val="008E79D5"/>
    <w:rsid w:val="00973A79"/>
    <w:rsid w:val="009D15C5"/>
    <w:rsid w:val="00A10462"/>
    <w:rsid w:val="00A1477E"/>
    <w:rsid w:val="00AC26F0"/>
    <w:rsid w:val="00AD393F"/>
    <w:rsid w:val="00B34623"/>
    <w:rsid w:val="00BC1199"/>
    <w:rsid w:val="00C71FC1"/>
    <w:rsid w:val="00CC23B4"/>
    <w:rsid w:val="00CC7D65"/>
    <w:rsid w:val="00CF6EB4"/>
    <w:rsid w:val="00D91096"/>
    <w:rsid w:val="00DC0FF6"/>
    <w:rsid w:val="00E57A85"/>
    <w:rsid w:val="00F05409"/>
    <w:rsid w:val="00F43525"/>
    <w:rsid w:val="00F72089"/>
    <w:rsid w:val="00FC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6528"/>
  </w:style>
  <w:style w:type="character" w:styleId="Strong">
    <w:name w:val="Strong"/>
    <w:basedOn w:val="DefaultParagraphFont"/>
    <w:uiPriority w:val="22"/>
    <w:qFormat/>
    <w:rsid w:val="004F6528"/>
    <w:rPr>
      <w:b/>
      <w:bCs/>
    </w:rPr>
  </w:style>
  <w:style w:type="paragraph" w:styleId="ListParagraph">
    <w:name w:val="List Paragraph"/>
    <w:basedOn w:val="Normal"/>
    <w:uiPriority w:val="34"/>
    <w:qFormat/>
    <w:rsid w:val="004F6528"/>
    <w:pPr>
      <w:ind w:left="720"/>
      <w:contextualSpacing/>
    </w:pPr>
  </w:style>
  <w:style w:type="paragraph" w:styleId="BalloonText">
    <w:name w:val="Balloon Text"/>
    <w:basedOn w:val="Normal"/>
    <w:link w:val="BalloonTextChar"/>
    <w:uiPriority w:val="99"/>
    <w:semiHidden/>
    <w:unhideWhenUsed/>
    <w:rsid w:val="004F6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6528"/>
  </w:style>
  <w:style w:type="character" w:styleId="Strong">
    <w:name w:val="Strong"/>
    <w:basedOn w:val="DefaultParagraphFont"/>
    <w:uiPriority w:val="22"/>
    <w:qFormat/>
    <w:rsid w:val="004F6528"/>
    <w:rPr>
      <w:b/>
      <w:bCs/>
    </w:rPr>
  </w:style>
  <w:style w:type="paragraph" w:styleId="ListParagraph">
    <w:name w:val="List Paragraph"/>
    <w:basedOn w:val="Normal"/>
    <w:uiPriority w:val="34"/>
    <w:qFormat/>
    <w:rsid w:val="004F6528"/>
    <w:pPr>
      <w:ind w:left="720"/>
      <w:contextualSpacing/>
    </w:pPr>
  </w:style>
  <w:style w:type="paragraph" w:styleId="BalloonText">
    <w:name w:val="Balloon Text"/>
    <w:basedOn w:val="Normal"/>
    <w:link w:val="BalloonTextChar"/>
    <w:uiPriority w:val="99"/>
    <w:semiHidden/>
    <w:unhideWhenUsed/>
    <w:rsid w:val="004F6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40465">
      <w:bodyDiv w:val="1"/>
      <w:marLeft w:val="0"/>
      <w:marRight w:val="0"/>
      <w:marTop w:val="0"/>
      <w:marBottom w:val="0"/>
      <w:divBdr>
        <w:top w:val="none" w:sz="0" w:space="0" w:color="auto"/>
        <w:left w:val="none" w:sz="0" w:space="0" w:color="auto"/>
        <w:bottom w:val="none" w:sz="0" w:space="0" w:color="auto"/>
        <w:right w:val="none" w:sz="0" w:space="0" w:color="auto"/>
      </w:divBdr>
      <w:divsChild>
        <w:div w:id="456339594">
          <w:marLeft w:val="0"/>
          <w:marRight w:val="0"/>
          <w:marTop w:val="0"/>
          <w:marBottom w:val="0"/>
          <w:divBdr>
            <w:top w:val="none" w:sz="0" w:space="0" w:color="auto"/>
            <w:left w:val="none" w:sz="0" w:space="0" w:color="auto"/>
            <w:bottom w:val="none" w:sz="0" w:space="0" w:color="auto"/>
            <w:right w:val="none" w:sz="0" w:space="0" w:color="auto"/>
          </w:divBdr>
        </w:div>
        <w:div w:id="71389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F4660-E073-4E82-9EB5-89F454B2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p:lastModifiedBy>
  <cp:revision>7</cp:revision>
  <dcterms:created xsi:type="dcterms:W3CDTF">2019-03-18T08:28:00Z</dcterms:created>
  <dcterms:modified xsi:type="dcterms:W3CDTF">2019-03-18T08:55:00Z</dcterms:modified>
</cp:coreProperties>
</file>