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65" w:rsidRDefault="00BC3965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DIRECTIA  DE</w:t>
      </w:r>
      <w:proofErr w:type="gramEnd"/>
      <w:r>
        <w:rPr>
          <w:sz w:val="18"/>
          <w:szCs w:val="18"/>
        </w:rPr>
        <w:t xml:space="preserve">  SANATATE  PUBLICA  ARGES</w:t>
      </w:r>
    </w:p>
    <w:p w:rsidR="00BC3965" w:rsidRDefault="00BC3965" w:rsidP="00BC3965">
      <w:pPr>
        <w:jc w:val="center"/>
        <w:rPr>
          <w:sz w:val="18"/>
          <w:szCs w:val="18"/>
        </w:rPr>
      </w:pPr>
    </w:p>
    <w:p w:rsidR="00BC3965" w:rsidRDefault="00BC3965" w:rsidP="00D06C3E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ACTE  NECESARE</w:t>
      </w:r>
      <w:proofErr w:type="gramEnd"/>
      <w:r>
        <w:rPr>
          <w:sz w:val="18"/>
          <w:szCs w:val="18"/>
        </w:rPr>
        <w:t xml:space="preserve">  AUTORIZARII  SANITARE  pentru  PR</w:t>
      </w:r>
      <w:r w:rsidR="00D06C3E">
        <w:rPr>
          <w:sz w:val="18"/>
          <w:szCs w:val="18"/>
        </w:rPr>
        <w:t>ESTAREA  de  SERVICII  FUNERARE</w:t>
      </w:r>
    </w:p>
    <w:p w:rsidR="00D06C3E" w:rsidRDefault="00D06C3E" w:rsidP="00D06C3E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 in</w:t>
      </w:r>
      <w:proofErr w:type="gramEnd"/>
      <w:r>
        <w:rPr>
          <w:sz w:val="18"/>
          <w:szCs w:val="18"/>
        </w:rPr>
        <w:t xml:space="preserve"> conformitate cu </w:t>
      </w:r>
      <w:r w:rsidR="00D57491">
        <w:rPr>
          <w:sz w:val="18"/>
          <w:szCs w:val="18"/>
        </w:rPr>
        <w:t xml:space="preserve">    </w:t>
      </w:r>
      <w:r w:rsidR="006C2673">
        <w:rPr>
          <w:sz w:val="18"/>
          <w:szCs w:val="18"/>
        </w:rPr>
        <w:t>ANEXA 1 la Norme din  H.G.nr.741/2016)</w:t>
      </w:r>
    </w:p>
    <w:p w:rsidR="006C2673" w:rsidRDefault="006C2673" w:rsidP="006C2673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Prestatorul  de</w:t>
      </w:r>
      <w:proofErr w:type="gramEnd"/>
      <w:r>
        <w:rPr>
          <w:sz w:val="18"/>
          <w:szCs w:val="18"/>
        </w:rPr>
        <w:t xml:space="preserve">  servicii  funerare  depune  la  DSP  Arges  urmatoarele  documente:</w:t>
      </w:r>
    </w:p>
    <w:p w:rsid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ANEXA 1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la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norme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Autorizarea sanitară pentru prestarea de servicii funerare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Autorizarea sanitară pentru prestarea de servicii funerare se realizează în baza referatului de evaluare, conform prevederilor Ordinului ministrului sănătăţii nr. 1.030/2009 privind aprobarea procedurilor de reglementare sanitară pentru proiectele de amplasare, amenajare, construire şi pentru funcţionarea obiectivelor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desfăşoară activităţi cu risc pentru starea de sănătate a populaţiei, cu modificările şi completările ulterioare.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Prestatorul de servicii funerare depune la direcţia de sănătate publică următoarele documente: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cerere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conform modelului prevăzut la art. 46 lit.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);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b)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copie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pe certificatul de înregistrare a societăţii la registrul comerţului;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c)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dovada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deţinerii spaţiului în care se prestează serviciile funerare;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d)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memoriul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tehnic care să cuprindă detalii privind spaţiile şi mijloacele de transport;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e)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dovada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că operatorul economic care prestează servicii funerare are în dotare cel puţin o trusă de îmbălsămare conform prezentelor norme;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f)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dovada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că are angajat cel puţin un tanatopractor cu diplomă obţinută conform prezentelor norme;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g)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fişele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aptitudine ale întregului personal care lucrează în firma de servicii funerare care atestă efectuarea examenelor medicale la angajare şi/sau examenele medicale periodice, conform Hotărârii Guvernului nr.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355/2007 privind supravegherea sănătăţii lucrătorilor, cu modificările şi completările ulterioare.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Suplimentar, persoanele care prestează efectiv îngrijiri mortuare, inclusiv cele care transportă decedaţii, vor prezenta şi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un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certificat de sănătate mintală;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h)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autorizaţia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emisă conform Legii nr. 92/2007, cu modificările şi completările ulterioare, pentru fiecare mijloc de transport;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i)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dovada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achitare a tarifului de autorizare sanitară;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j)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declaraţia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pe propria răspundere că spaţiul pentru care se solicită autorizarea este deţinut legal şi nu face obiectul vreunui litigiu;</w:t>
      </w:r>
    </w:p>
    <w:p w:rsidR="00AA64A3" w:rsidRP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k)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în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funcţie de specificul activităţii se pot solicita şi alte documente care să ateste îndeplinirea cerinţelor legale incidente domeniului. Acestea vor fi prezentate de solicitant în etapa de evaluare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obiectivului.</w:t>
      </w:r>
    </w:p>
    <w:p w:rsid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Activităţile de verificare a conformităţii cu normele de igienă şi sănătate publică şi/sau alte reglementări legale în vederea eliberării autorizaţiei sanitare de funcţionare se realizează de către personalul de specialitate desemnat pentru domeniul de activitate supus autorizării, iar rezultatul verificării conformării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va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fi consemnat într-un referat de evaluare.</w:t>
      </w:r>
    </w:p>
    <w:p w:rsidR="00AA64A3" w:rsidRDefault="00AA64A3" w:rsidP="00AA64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NEXA 2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la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norme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Specificaţii tehnice pentru autovehiculele societăţilor de servicii funerare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1. Autovehiculul pentru asistenţă funerară mobilă folosit pentru pregătirea cadavrului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va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îndeplini următoarele condiţii: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inscripţionat cu însemne specifice activităţii pentru care este utilizat;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b)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omologat de către Registrul Auto Român pentru această activitate sau deţine autorizaţie de transport local emisă de către primărie, în baza Legii nr. 92/2007, cu modificările şi completările ulterioare;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c)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înmatriculat în România, se află în proprietatea unei firme de pompe funebre sau o deserveşte în baza unui contract;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d)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spaţiul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interior este obligatoriu să fie închis, fără vizibilitate din exterior, delimitat de suprafeţe lavabile şi dezinfectabile;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e)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autovehiculul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este prevăzut cu un paravan separator între habitaclul destinat personalului manipulant şi partea destinată pregătirii cadavrului, care va avea un cubaj de minimum 12 mc;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f) spaţiul interior este dotat cu: targă de recuperare, masă/platformă din inox pentru pregătirea corpului, sertare pentru instrumentar cu închidere etanşă, recipiente/spaţiu pentru deşeurile provenite din manopera de îmbălsămare asimilabile deşeurilor periculoase, rezervor de apă cu capacitate minimă de 25 litri, prevăzut cu robinet, rezervor de colectare a apelor reziduale cu capacitate minimă de 50 litri;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g)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spaţiu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pentru depozitarea produselor biocide, conform specificaţiilor producătorului;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h)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instalaţie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climatizare;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lastRenderedPageBreak/>
        <w:t xml:space="preserve">    i)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asigură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nivelul 2 de biosecuritate.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2. Autovehiculul mortuar pentru paradă folosit pentru transportul trupului neînsufleţit spre locul de înhumare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va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îndeplini următoarele cerinţe: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habitaclul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pentru depozitarea sicriului trebuie să aibă o lungime de minimum 210 cm şi o lăţime de minimum 90 cm;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b)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omologat de către Registrul Auto Român pentru această activitate sau deţine autorizaţie de transport local emisă de către primărie, în baza Legii nr. 92/2007, cu modificările şi completările ulterioare;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c)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înmatriculat în România, se află în proprietatea unei firme de pompe funebre sau o deserveşte în baza unui contract;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d)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spaţiul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destinat depozitării sicriului trebuie delimitat de suprafeţe care pot fi dezinfectate;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e)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autovehiculul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este prevăzut cu un paravan separator între habitaclul destinat sicriului şi cel destinat pasagerilor din faţă.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3. Autovehiculul funerar pentru recuperare cadavre şi transport internaţional: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inscripţionat cu însemne specifice activităţii pentru care este utilizat;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b)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omologat de către Registrul Auto Român pentru această activitate sau deţine autorizaţie de transport local emisă de către primărie, în baza Legii nr. 92/2007, cu modificările şi completările ulterioare;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c)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este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înmatriculat în România, se află în proprietatea unei firme de pompe funebre sau o deserveşte în baza unui contract;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d)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habitaclul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pentru depozitarea trupului neînsufleţit trebuie să aibă o lungime de minimum 200 cm şi o lăţime de minimum 120 cm;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e)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spaţiul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interior este obligatoriu să fie închis, fără vizibilitate din exterior, delimitat de suprafeţe lavabile şi dezinfectabile;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f)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autovehiculul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trebuie prevăzut cu un paravan separator între habitaclul destinat personalului şi partea destinată depozitării corpului decedatului;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g)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pentru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recuperare este necesară dotarea cu o targă de recuperare şi şină de ghidaj pentru targă;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h)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agregate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frigorifice pentru transportul pe distanţe lungi;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i)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autovehiculul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va fi dezinfectat periodic.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ANEXA 3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la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norme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CERTIFICAT DE ÎMBĂLSĂMARE/TANATOPRAXIE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Serveşte la certificarea îmbălsămării cadavrului, în vederea transportului în altă localitate decât cea în care s-a produs decesul, situată la minimum 30 km, şi pentru depunerea la capelă/spaţii publice, cu sicriul deschis.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Se eliberează de către medicul/tanatopractorul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care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a efectuat îmbălsămarea/tanatopraxia precizând locul său de muncă, locul în care şi-a desfăşurat procedeul de îmbălsămare/tanatopraxie, declaraţia cu privire la substanţele folosite.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Se eliberează într-un singur exemplar, care se predă solicitantului, după achitarea taxei respective corespunzătoare manoperelor prestate.</w:t>
      </w:r>
      <w:proofErr w:type="gramEnd"/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Judeţul ...................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GRATUIT           |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Localitatea ...............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CU PLATĂ          |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Unitatea sanitară/S.C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. ....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Chitanţa nr.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.... |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Nr. .............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din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:                        |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               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a a a  l l  z z          |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eliberat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la ..........                        |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                              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  CERTIFICAT DE ÎMBĂLSĂMARE/TANATOPRAXIE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                              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Subsemnatul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, .....................,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 calitate de medic/tanatopractor la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IML/SJML/S.C. ......................., cu sediul în .......................,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A64A3">
        <w:rPr>
          <w:rFonts w:ascii="Times New Roman" w:hAnsi="Times New Roman" w:cs="Times New Roman"/>
          <w:sz w:val="18"/>
          <w:szCs w:val="18"/>
        </w:rPr>
        <w:t>| str. .................. nr.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........., judeţul/sectorul ...................,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având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în vedere Avizul pentru îmbălsămare al Direcţiei de Sănătate Publică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A64A3">
        <w:rPr>
          <w:rFonts w:ascii="Times New Roman" w:hAnsi="Times New Roman" w:cs="Times New Roman"/>
          <w:sz w:val="18"/>
          <w:szCs w:val="18"/>
        </w:rPr>
        <w:t>| ......................... cu nr.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....../............, precum şi Certificatul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medical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constatator al decesului cu nr. ....../.............,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eliberat(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ă) de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medic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.........., specialitatea ................., am procedat la efectuarea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îmbălsămării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defunctului cu numele ........................, decedat în data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............ la ............, cu diagnosticul ...........................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Îmbălsămarea cadavrului s-a efectuat la data de ................., la sediul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SJML/IML/S.C. ......................., folosind metoda .....................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şi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substanţele ................, cu denumirea comercială de ................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în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concentraţie de .......... care au fost administrate pe cale ............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A64A3">
        <w:rPr>
          <w:rFonts w:ascii="Times New Roman" w:hAnsi="Times New Roman" w:cs="Times New Roman"/>
          <w:sz w:val="18"/>
          <w:szCs w:val="18"/>
        </w:rPr>
        <w:t>| (sistemică vasculară/locală), în cantitate totală de ................ litri.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Procedura de îmbălsămare şi/sau tanatopraxie nu a urmărit conservarea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definitivă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a corpului defunctului. S-au folosit numai substanţe chimice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standardizate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a căror compoziţie a fost, potrivit legii, avizată conform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A64A3">
        <w:rPr>
          <w:rFonts w:ascii="Times New Roman" w:hAnsi="Times New Roman" w:cs="Times New Roman"/>
          <w:sz w:val="18"/>
          <w:szCs w:val="18"/>
        </w:rPr>
        <w:t>| Hotărârii Guvernului nr.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617/2014, cu modificările şi completările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ulterioare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, din care un eşantion cu 50 ml de substanţă se află depus lângă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decedat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. S-a avut în vedere ca prin metoda folosită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să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se constituie riscuri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biologice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, ocupaţionale şi pentru mediu cât mai reduse.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O brăţară cu datele de identificare ale firmei de pompe funebre care a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acordat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serviciile funerare, îngrijirile mortuare şi serviciile de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tanatopraxie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s-a aplicat pe mâna dreaptă/stângă a decedatului.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   Prezentul certificat se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va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folosi pentru a atesta îmbălsămarea în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conformitate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cu prevederile legii în vederea transportului în localitatea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................., judeţul ................, şi/sau a depunerii la capelă/în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spaţii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publice cu sicriul deschis în localitatea ..........................,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judeţul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.................. în locaţia ....................... .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Prezentul se eliberează într-un singur exemplar, care se predă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solicitantului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, pentru a fi pus la dispoziţia administraţiei cimitirului/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crematoriului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>.                                 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                              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Semnătura medicului legist/anatomopatolog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|                                 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sau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       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       Semnătura tanatopractorului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                              L.S. ............                               |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>|________________________________________________</w:t>
      </w:r>
      <w:r w:rsidR="00FC79A5">
        <w:rPr>
          <w:rFonts w:ascii="Times New Roman" w:hAnsi="Times New Roman" w:cs="Times New Roman"/>
          <w:sz w:val="18"/>
          <w:szCs w:val="18"/>
        </w:rPr>
        <w:t>______________________________|</w:t>
      </w:r>
      <w:bookmarkStart w:id="0" w:name="_GoBack"/>
      <w:bookmarkEnd w:id="0"/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                     PRECIZĂRI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A64A3">
        <w:rPr>
          <w:rFonts w:ascii="Times New Roman" w:hAnsi="Times New Roman" w:cs="Times New Roman"/>
          <w:sz w:val="18"/>
          <w:szCs w:val="18"/>
        </w:rPr>
        <w:t>cu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privire la eliberarea şi folosirea certificatului de îmbălsămare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1. Se completează într-un singur exemplar cu cerneală citeţ şi se eliberează de către medicul/tanatopractorul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care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a realizat îmbălsămarea, indicându-se afilierea sa la unitatea sanitară: SJML/IML/spital sau societatea comercială, reglementată de Legea societăţilor nr. 31/1990, republicată, cu modificările şi completările ulterioare, având cod CAEN 9603 unde lucrează, locul în care s-a efectuat îmbălsămarea, metoda, tehnica folosită, tipul de substanţe chimice şi denumirea lor.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Se păstrează, potrivit prevederilor legale, la administraţia cimitirului/crematoriului.</w:t>
      </w:r>
      <w:proofErr w:type="gramEnd"/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2. Îmbălsămarea cadavrelor se face de către medicul legist/anatomopatolog în cadrul procedurilor legale de autopsie din SJML/IML/spital sau de către tanatopractor, în afara unităţilor sanitare sau medico-legale. Îmbălsămarea realizată de tanatopractor se execută la cererea explicită a membrilor familiei decedatului sau a altor persoane desemnate, potrivit legii, exprimată în scris, cu avizul direcţiei de sănătate publică judeţene/a municipiului Bucureşti.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3. Se semnează de către medicul legist/anatomopatolog sau tanatopractorul care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efectuat îmbălsămarea.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4. Pe certificatul completat în serviciile de prosectură ale spitalelor sau unităţile medico-legale termenul "Tanatopraxie" din titlul certificatului se taie.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 asemenea se taie sintagma "Semnătura tanatopractorului".</w:t>
      </w:r>
      <w:proofErr w:type="gramEnd"/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5. Pe certificatul completat de tanatopractor în cazul deceselor care fac obiectul serviciilor funerare, termenul "Îmbălsămare" din titlul certificatului se taie.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 asemenea se taie sintagma "Semnătura medicului legist/anatomopatolog".</w:t>
      </w:r>
      <w:proofErr w:type="gramEnd"/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6. Este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un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document sanitar obligatoriu pentru depunerea cadavrului la capelă sau în spaţii publice cu sicriul deschis şi/sau atunci când decedatul urmează să fie transportat într-o altă localitate, la distanţă de locul decesului.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7. Transportul cadavrului în altă localitate se face într-un sicriu confecţionat din materiale biodegradabile, închis, căptuşit pe dinăuntru cu tablă sau carton gudronat, bine lipit la încheieturi şi al cărui fund este acoperit cu un strat de 5 cm grosime de materii absorbante (rumeguş de lemn, turbă sau altele asemenea), îmbibate într-o soluţie dezinfectantă.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ANEXA 4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la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norme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Autorizarea sanitară pentru activităţi de înmormântare/înhumare (cimitire)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Pentru situaţiile prevăzute la art.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24 alin.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(1), autorizarea sanitară pentru activităţi de înmormântare/înhumare se realizează în baza referatului de evaluare, conform prevederilor Ordinului ministrului sănătăţii nr. 1.030/2009 privind aprobarea procedurilor de reglementare sanitară pentru proiectele de amplasare, amenajare, construire şi pentru funcţionarea obiectivelor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desfăşoară activităţi cu risc pentru starea de sănătate a populaţiei, cu modificările şi completările ulterioare.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Administratorul cimitirului depune la direcţia de sănătate publică judeţeană/a municipiului Bucureşti următoarele documente: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a)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cerere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semnată de administratorul cimitirului, conform modelului prevăzut la art. 46 lit. e);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b)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memoriu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tehnic care va cuprinde: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-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capacitatea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totală proiectată, respectiv numărul de locuri;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-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sectorizarea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corespunzătoare pentru fiecare cult recunoscut;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-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dotarea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cu utilităţi conform prevederilor art.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23 alin.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(1);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-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planul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sălii de ceremonii funerare, cu îndeplinirea cerinţelor prevăzute la art. 28;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c)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certificatul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urbanism;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d)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regulament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organizare şi funcţionare a cimitirului întocmit de administratorul cimitirului şi avizat de autoritatea administraţiei publice locale;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e)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dovada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de achitare a tarifului de autorizare sanitară, după caz;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f)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declaraţia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pe propria răspundere că spaţiul pentru care se solicită autorizarea este deţinut legal şi nu face obiectul vreunui litigiu;</w:t>
      </w:r>
    </w:p>
    <w:p w:rsidR="00AA64A3" w:rsidRPr="00AA64A3" w:rsidRDefault="00AA64A3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64A3">
        <w:rPr>
          <w:rFonts w:ascii="Times New Roman" w:hAnsi="Times New Roman" w:cs="Times New Roman"/>
          <w:sz w:val="18"/>
          <w:szCs w:val="18"/>
        </w:rPr>
        <w:t xml:space="preserve">    g)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în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funcţie de specificul activităţii se pot solicita şi alte documente care să ateste îndeplinirea cerinţelor legale incidente domeniului. Acestea vor fi prezentate de solicitant în etapa de evaluare </w:t>
      </w:r>
      <w:proofErr w:type="gramStart"/>
      <w:r w:rsidRPr="00AA64A3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AA64A3">
        <w:rPr>
          <w:rFonts w:ascii="Times New Roman" w:hAnsi="Times New Roman" w:cs="Times New Roman"/>
          <w:sz w:val="18"/>
          <w:szCs w:val="18"/>
        </w:rPr>
        <w:t xml:space="preserve"> obiectivului.</w:t>
      </w:r>
    </w:p>
    <w:p w:rsidR="00B13B21" w:rsidRPr="00AA64A3" w:rsidRDefault="00B13B21" w:rsidP="00AA6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173E" w:rsidRPr="00B13B21" w:rsidRDefault="006E173E" w:rsidP="006E173E">
      <w:pPr>
        <w:rPr>
          <w:sz w:val="18"/>
          <w:szCs w:val="18"/>
        </w:rPr>
      </w:pPr>
    </w:p>
    <w:p w:rsidR="006E173E" w:rsidRPr="00B13B21" w:rsidRDefault="006E173E" w:rsidP="006E173E">
      <w:pPr>
        <w:rPr>
          <w:sz w:val="18"/>
          <w:szCs w:val="18"/>
        </w:rPr>
      </w:pPr>
    </w:p>
    <w:p w:rsidR="006E173E" w:rsidRPr="00B13B21" w:rsidRDefault="006E173E" w:rsidP="006E173E">
      <w:pPr>
        <w:jc w:val="center"/>
        <w:rPr>
          <w:sz w:val="18"/>
          <w:szCs w:val="18"/>
        </w:rPr>
      </w:pPr>
    </w:p>
    <w:sectPr w:rsidR="006E173E" w:rsidRPr="00B1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07D58"/>
    <w:multiLevelType w:val="hybridMultilevel"/>
    <w:tmpl w:val="F6AE0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65"/>
    <w:rsid w:val="00010516"/>
    <w:rsid w:val="003B1697"/>
    <w:rsid w:val="005F503C"/>
    <w:rsid w:val="006C2673"/>
    <w:rsid w:val="006E173E"/>
    <w:rsid w:val="009C3C1E"/>
    <w:rsid w:val="00AA64A3"/>
    <w:rsid w:val="00B13B21"/>
    <w:rsid w:val="00BC3965"/>
    <w:rsid w:val="00C4384C"/>
    <w:rsid w:val="00D06C3E"/>
    <w:rsid w:val="00D57491"/>
    <w:rsid w:val="00F15EA3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2024-11-11T07:20:00Z</dcterms:created>
  <dcterms:modified xsi:type="dcterms:W3CDTF">2024-11-11T10:32:00Z</dcterms:modified>
</cp:coreProperties>
</file>